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left"/>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附件1</w:t>
      </w:r>
    </w:p>
    <w:p>
      <w:pPr>
        <w:pStyle w:val="2"/>
        <w:spacing w:before="0" w:after="0" w:line="600" w:lineRule="exact"/>
        <w:ind w:firstLine="883"/>
        <w:jc w:val="center"/>
        <w:rPr>
          <w:rFonts w:hint="default" w:ascii="Times New Roman" w:hAnsi="Times New Roman" w:eastAsia="方正小标宋简体" w:cs="Times New Roman"/>
          <w:b w:val="0"/>
          <w:bCs w:val="0"/>
        </w:rPr>
      </w:pPr>
      <w:bookmarkStart w:id="0" w:name="_Toc329355844"/>
      <w:bookmarkStart w:id="1" w:name="_Toc196195774"/>
      <w:r>
        <w:rPr>
          <w:rFonts w:hint="default" w:ascii="Times New Roman" w:hAnsi="Times New Roman" w:eastAsia="方正小标宋简体" w:cs="Times New Roman"/>
          <w:b w:val="0"/>
          <w:bCs w:val="0"/>
        </w:rPr>
        <w:t xml:space="preserve"> 参选人须知</w:t>
      </w:r>
      <w:bookmarkEnd w:id="0"/>
      <w:bookmarkEnd w:id="1"/>
    </w:p>
    <w:p>
      <w:pPr>
        <w:spacing w:line="600" w:lineRule="exact"/>
        <w:ind w:firstLine="723"/>
        <w:jc w:val="center"/>
        <w:rPr>
          <w:rFonts w:hint="default" w:ascii="Times New Roman" w:hAnsi="Times New Roman" w:cs="Times New Roman"/>
          <w:b/>
          <w:bCs/>
          <w:sz w:val="36"/>
          <w:szCs w:val="36"/>
        </w:rPr>
      </w:pPr>
    </w:p>
    <w:p>
      <w:pPr>
        <w:spacing w:line="600" w:lineRule="exact"/>
        <w:ind w:firstLine="723"/>
        <w:jc w:val="center"/>
        <w:rPr>
          <w:rFonts w:hint="default" w:ascii="Times New Roman" w:hAnsi="Times New Roman" w:cs="Times New Roman"/>
          <w:b/>
          <w:bCs/>
          <w:sz w:val="36"/>
          <w:szCs w:val="36"/>
        </w:rPr>
      </w:pPr>
      <w:r>
        <w:rPr>
          <w:rFonts w:hint="default" w:ascii="Times New Roman" w:hAnsi="Times New Roman" w:cs="Times New Roman"/>
          <w:b/>
          <w:bCs/>
          <w:sz w:val="36"/>
          <w:szCs w:val="36"/>
        </w:rPr>
        <w:t>一、参选须知前附表</w:t>
      </w:r>
    </w:p>
    <w:tbl>
      <w:tblPr>
        <w:tblStyle w:val="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95"/>
        <w:gridCol w:w="72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项目</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内容</w:t>
            </w:r>
          </w:p>
        </w:tc>
        <w:tc>
          <w:tcPr>
            <w:tcW w:w="7253" w:type="dxa"/>
            <w:noWrap w:val="0"/>
            <w:vAlign w:val="center"/>
          </w:tcPr>
          <w:p>
            <w:pPr>
              <w:pStyle w:val="4"/>
              <w:spacing w:after="0" w:line="40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7253" w:type="dxa"/>
            <w:noWrap w:val="0"/>
            <w:vAlign w:val="center"/>
          </w:tcPr>
          <w:p>
            <w:pPr>
              <w:pStyle w:val="4"/>
              <w:spacing w:after="0" w:line="400" w:lineRule="exact"/>
              <w:ind w:firstLine="0" w:firstLineChars="0"/>
              <w:jc w:val="left"/>
              <w:rPr>
                <w:rFonts w:hint="default" w:ascii="Times New Roman" w:hAnsi="Times New Roman" w:cs="Times New Roman"/>
                <w:sz w:val="24"/>
                <w:szCs w:val="24"/>
              </w:rPr>
            </w:pPr>
            <w:r>
              <w:rPr>
                <w:rFonts w:hint="eastAsia" w:ascii="Times New Roman" w:hAnsi="Times New Roman" w:cs="Times New Roman"/>
                <w:sz w:val="24"/>
                <w:szCs w:val="24"/>
                <w:lang w:eastAsia="zh-CN"/>
              </w:rPr>
              <w:t>安徽省环保集团有限公司（暂定）</w:t>
            </w:r>
            <w:r>
              <w:rPr>
                <w:rFonts w:hint="default" w:ascii="Times New Roman" w:hAnsi="Times New Roman" w:cs="Times New Roman"/>
                <w:sz w:val="24"/>
                <w:szCs w:val="24"/>
              </w:rPr>
              <w:t>发展战略规划咨询项目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相关负责人及联系方式</w:t>
            </w:r>
          </w:p>
        </w:tc>
        <w:tc>
          <w:tcPr>
            <w:tcW w:w="7253" w:type="dxa"/>
            <w:noWrap w:val="0"/>
            <w:vAlign w:val="center"/>
          </w:tcPr>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相关负责人：安徽省盐业投资控股集团有限公司</w:t>
            </w:r>
          </w:p>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地址:</w:t>
            </w:r>
            <w:r>
              <w:rPr>
                <w:rFonts w:hint="default" w:ascii="Times New Roman" w:hAnsi="Times New Roman" w:cs="Times New Roman"/>
              </w:rPr>
              <w:t xml:space="preserve"> </w:t>
            </w:r>
            <w:r>
              <w:rPr>
                <w:rFonts w:hint="default" w:ascii="Times New Roman" w:hAnsi="Times New Roman" w:cs="Times New Roman"/>
                <w:sz w:val="24"/>
              </w:rPr>
              <w:t>合肥市包河区华山支路与紫云路交口徽盐世纪广场A座20层投融资发展部</w:t>
            </w:r>
          </w:p>
          <w:p>
            <w:pPr>
              <w:spacing w:line="400" w:lineRule="exact"/>
              <w:ind w:firstLine="0" w:firstLineChars="0"/>
              <w:jc w:val="left"/>
              <w:rPr>
                <w:rFonts w:hint="default" w:ascii="Times New Roman" w:hAnsi="Times New Roman" w:cs="Times New Roman" w:eastAsiaTheme="minorEastAsia"/>
                <w:sz w:val="24"/>
                <w:lang w:eastAsia="zh-CN"/>
              </w:rPr>
            </w:pPr>
            <w:r>
              <w:rPr>
                <w:rFonts w:hint="default" w:ascii="Times New Roman" w:hAnsi="Times New Roman" w:cs="Times New Roman"/>
                <w:sz w:val="24"/>
              </w:rPr>
              <w:t>联系人：</w:t>
            </w:r>
            <w:r>
              <w:rPr>
                <w:rFonts w:hint="default" w:ascii="Times New Roman" w:hAnsi="Times New Roman" w:cs="Times New Roman"/>
                <w:sz w:val="24"/>
                <w:lang w:val="en-US" w:eastAsia="zh-CN"/>
              </w:rPr>
              <w:t>黄强</w:t>
            </w:r>
          </w:p>
          <w:p>
            <w:pPr>
              <w:spacing w:line="400" w:lineRule="exact"/>
              <w:ind w:firstLine="0" w:firstLineChars="0"/>
              <w:jc w:val="left"/>
              <w:rPr>
                <w:rFonts w:hint="default" w:ascii="Times New Roman" w:hAnsi="Times New Roman" w:cs="Times New Roman"/>
                <w:sz w:val="24"/>
                <w:highlight w:val="yellow"/>
              </w:rPr>
            </w:pPr>
            <w:r>
              <w:rPr>
                <w:rFonts w:hint="default" w:ascii="Times New Roman" w:hAnsi="Times New Roman" w:cs="Times New Roman"/>
                <w:sz w:val="24"/>
              </w:rPr>
              <w:t>电  话：0551-65283017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竞争性谈判范围</w:t>
            </w:r>
          </w:p>
        </w:tc>
        <w:tc>
          <w:tcPr>
            <w:tcW w:w="7253" w:type="dxa"/>
            <w:noWrap w:val="0"/>
            <w:vAlign w:val="center"/>
          </w:tcPr>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1.编制总体战略规划。依据安徽省国资委等主管部门要求，按时编制完成</w:t>
            </w:r>
            <w:r>
              <w:rPr>
                <w:rFonts w:hint="eastAsia" w:ascii="Times New Roman" w:hAnsi="Times New Roman" w:cs="Times New Roman"/>
                <w:sz w:val="24"/>
                <w:lang w:eastAsia="zh-CN"/>
              </w:rPr>
              <w:t>安徽省环保集团有限公司（暂定）</w:t>
            </w:r>
            <w:r>
              <w:rPr>
                <w:rFonts w:hint="default" w:ascii="Times New Roman" w:hAnsi="Times New Roman" w:cs="Times New Roman"/>
                <w:sz w:val="24"/>
              </w:rPr>
              <w:t>发展战略规划。</w:t>
            </w:r>
          </w:p>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2.实施辅导：给予一定期限的辅导期，确保首次实施能够顺利启动并达到预期效果，后期通过回访、远程指导、电话支持等方式给予必要的技术支持。</w:t>
            </w:r>
          </w:p>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3.标段划分：本项目为一个标段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服务周期</w:t>
            </w:r>
          </w:p>
        </w:tc>
        <w:tc>
          <w:tcPr>
            <w:tcW w:w="7253" w:type="dxa"/>
            <w:noWrap w:val="0"/>
            <w:vAlign w:val="center"/>
          </w:tcPr>
          <w:p>
            <w:pPr>
              <w:pStyle w:val="4"/>
              <w:spacing w:after="0"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服务周期</w:t>
            </w:r>
            <w:r>
              <w:rPr>
                <w:rFonts w:hint="default" w:ascii="Times New Roman" w:hAnsi="Times New Roman" w:cs="Times New Roman"/>
                <w:sz w:val="24"/>
                <w:szCs w:val="24"/>
                <w:highlight w:val="none"/>
              </w:rPr>
              <w:t>：合同签订后</w:t>
            </w:r>
            <w:r>
              <w:rPr>
                <w:rFonts w:hint="default" w:ascii="Times New Roman" w:hAnsi="Times New Roman" w:cs="Times New Roman"/>
                <w:sz w:val="24"/>
                <w:szCs w:val="24"/>
                <w:highlight w:val="none"/>
                <w:u w:val="single"/>
              </w:rPr>
              <w:t xml:space="preserve">   150  </w:t>
            </w:r>
            <w:r>
              <w:rPr>
                <w:rFonts w:hint="default" w:ascii="Times New Roman" w:hAnsi="Times New Roman" w:cs="Times New Roman"/>
                <w:sz w:val="24"/>
                <w:szCs w:val="24"/>
                <w:highlight w:val="none"/>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资金来源</w:t>
            </w:r>
          </w:p>
        </w:tc>
        <w:tc>
          <w:tcPr>
            <w:tcW w:w="7253" w:type="dxa"/>
            <w:noWrap w:val="0"/>
            <w:vAlign w:val="center"/>
          </w:tcPr>
          <w:p>
            <w:pPr>
              <w:pStyle w:val="4"/>
              <w:spacing w:after="0"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自筹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报价方式</w:t>
            </w:r>
          </w:p>
        </w:tc>
        <w:tc>
          <w:tcPr>
            <w:tcW w:w="7253" w:type="dxa"/>
            <w:noWrap w:val="0"/>
            <w:vAlign w:val="center"/>
          </w:tcPr>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1.报价采取总价报价方式，一个方案仅允许一个报价，应包括项目调研、规划编制、辅导实施以及售后服务等全部费用。如需要相关负责人承担相关的差旅费及其他费用的，应在报价中予以注明。</w:t>
            </w:r>
          </w:p>
          <w:p>
            <w:pPr>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2.报价应为包干价，除非因为招标人主观恶意或出现不可控的重大事项原因造成合同延期外，投标人应承诺完成服务内容且不得主张价格调整。</w:t>
            </w:r>
          </w:p>
          <w:p>
            <w:pPr>
              <w:pStyle w:val="4"/>
              <w:spacing w:after="0"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3.报价为含税价。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1595" w:type="dxa"/>
            <w:noWrap w:val="0"/>
            <w:vAlign w:val="center"/>
          </w:tcPr>
          <w:p>
            <w:pPr>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控制价</w:t>
            </w:r>
          </w:p>
        </w:tc>
        <w:tc>
          <w:tcPr>
            <w:tcW w:w="7253" w:type="dxa"/>
            <w:noWrap w:val="0"/>
            <w:vAlign w:val="center"/>
          </w:tcPr>
          <w:p>
            <w:pPr>
              <w:adjustRightInd w:val="0"/>
              <w:snapToGrid w:val="0"/>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highlight w:val="none"/>
              </w:rPr>
              <w:t>100万</w:t>
            </w:r>
            <w:r>
              <w:rPr>
                <w:rFonts w:hint="eastAsia" w:ascii="Times New Roman" w:hAnsi="Times New Roman" w:cs="Times New Roman"/>
                <w:sz w:val="24"/>
                <w:highlight w:val="none"/>
                <w:lang w:val="en-US" w:eastAsia="zh-CN"/>
              </w:rPr>
              <w:t>元</w:t>
            </w:r>
            <w:r>
              <w:rPr>
                <w:rFonts w:hint="default" w:ascii="Times New Roman" w:hAnsi="Times New Roman" w:cs="Times New Roman"/>
                <w:sz w:val="24"/>
                <w:highlight w:val="none"/>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95" w:type="dxa"/>
            <w:noWrap w:val="0"/>
            <w:vAlign w:val="center"/>
          </w:tcPr>
          <w:p>
            <w:pPr>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参选人资质要求</w:t>
            </w:r>
          </w:p>
        </w:tc>
        <w:tc>
          <w:tcPr>
            <w:tcW w:w="7253" w:type="dxa"/>
            <w:noWrap w:val="0"/>
            <w:vAlign w:val="center"/>
          </w:tcPr>
          <w:p>
            <w:pPr>
              <w:adjustRightInd w:val="0"/>
              <w:snapToGrid w:val="0"/>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1595" w:type="dxa"/>
            <w:noWrap w:val="0"/>
            <w:vAlign w:val="center"/>
          </w:tcPr>
          <w:p>
            <w:pPr>
              <w:autoSpaceDN w:val="0"/>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竞争性谈判有效期</w:t>
            </w:r>
          </w:p>
        </w:tc>
        <w:tc>
          <w:tcPr>
            <w:tcW w:w="7253" w:type="dxa"/>
            <w:noWrap w:val="0"/>
            <w:vAlign w:val="center"/>
          </w:tcPr>
          <w:p>
            <w:pPr>
              <w:autoSpaceDN w:val="0"/>
              <w:snapToGrid w:val="0"/>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竞争性谈判有效期从竞争性谈判截止之日算起</w:t>
            </w:r>
            <w:r>
              <w:rPr>
                <w:rFonts w:hint="default" w:ascii="Times New Roman" w:hAnsi="Times New Roman" w:cs="Times New Roman"/>
                <w:sz w:val="24"/>
                <w:u w:val="single"/>
              </w:rPr>
              <w:t xml:space="preserve"> 90 </w:t>
            </w:r>
            <w:r>
              <w:rPr>
                <w:rFonts w:hint="default" w:ascii="Times New Roman" w:hAnsi="Times New Roman" w:cs="Times New Roman"/>
                <w:sz w:val="24"/>
              </w:rPr>
              <w:t>个日历天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595"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竞争性谈判答疑</w:t>
            </w:r>
          </w:p>
        </w:tc>
        <w:tc>
          <w:tcPr>
            <w:tcW w:w="7253" w:type="dxa"/>
            <w:noWrap w:val="0"/>
            <w:vAlign w:val="center"/>
          </w:tcPr>
          <w:p>
            <w:pPr>
              <w:pStyle w:val="4"/>
              <w:spacing w:after="0"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参选人如有疑问，可拨打电话（0551-65283017）联系相关负责人，由相关负责人统一答复各参选人。</w:t>
            </w:r>
          </w:p>
          <w:p>
            <w:pPr>
              <w:pStyle w:val="4"/>
              <w:spacing w:after="0"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highlight w:val="none"/>
              </w:rPr>
              <w:t>在规定时间后收到的疑问相关负责人有权不予受理。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1595" w:type="dxa"/>
            <w:noWrap w:val="0"/>
            <w:vAlign w:val="center"/>
          </w:tcPr>
          <w:p>
            <w:pPr>
              <w:autoSpaceDN w:val="0"/>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参选人的替代方案</w:t>
            </w:r>
          </w:p>
        </w:tc>
        <w:tc>
          <w:tcPr>
            <w:tcW w:w="7253" w:type="dxa"/>
            <w:noWrap w:val="0"/>
            <w:vAlign w:val="center"/>
          </w:tcPr>
          <w:p>
            <w:pPr>
              <w:snapToGrid w:val="0"/>
              <w:spacing w:line="400" w:lineRule="exact"/>
              <w:ind w:firstLine="0" w:firstLineChars="0"/>
              <w:jc w:val="left"/>
              <w:rPr>
                <w:rFonts w:hint="default" w:ascii="Times New Roman" w:hAnsi="Times New Roman" w:cs="Times New Roman"/>
                <w:sz w:val="24"/>
              </w:rPr>
            </w:pPr>
            <w:r>
              <w:rPr>
                <w:rFonts w:hint="default" w:ascii="Times New Roman" w:hAnsi="Times New Roman" w:cs="Times New Roman"/>
                <w:sz w:val="24"/>
              </w:rPr>
              <w:t>不允许参选人提交替代方案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12</w:t>
            </w:r>
          </w:p>
        </w:tc>
        <w:tc>
          <w:tcPr>
            <w:tcW w:w="1595" w:type="dxa"/>
            <w:noWrap w:val="0"/>
            <w:vAlign w:val="center"/>
          </w:tcPr>
          <w:p>
            <w:pPr>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参选文件份数及封装</w:t>
            </w:r>
          </w:p>
        </w:tc>
        <w:tc>
          <w:tcPr>
            <w:tcW w:w="7253" w:type="dxa"/>
            <w:noWrap w:val="0"/>
            <w:vAlign w:val="top"/>
          </w:tcPr>
          <w:p>
            <w:pPr>
              <w:snapToGrid w:val="0"/>
              <w:spacing w:line="400" w:lineRule="exact"/>
              <w:ind w:firstLine="0" w:firstLineChars="0"/>
              <w:jc w:val="left"/>
              <w:rPr>
                <w:rFonts w:hint="default" w:ascii="Times New Roman" w:hAnsi="Times New Roman" w:cs="Times New Roman"/>
                <w:sz w:val="24"/>
                <w:highlight w:val="none"/>
              </w:rPr>
            </w:pPr>
            <w:r>
              <w:rPr>
                <w:rFonts w:hint="default" w:ascii="Times New Roman" w:hAnsi="Times New Roman" w:cs="Times New Roman"/>
                <w:sz w:val="24"/>
                <w:highlight w:val="none"/>
              </w:rPr>
              <w:t>1.参选文件，商务标</w:t>
            </w:r>
            <w:r>
              <w:rPr>
                <w:rFonts w:hint="eastAsia" w:ascii="Times New Roman" w:hAnsi="Times New Roman" w:cs="Times New Roman"/>
                <w:sz w:val="24"/>
                <w:highlight w:val="none"/>
                <w:lang w:val="en-US" w:eastAsia="zh-CN"/>
              </w:rPr>
              <w:t>5</w:t>
            </w:r>
            <w:r>
              <w:rPr>
                <w:rFonts w:hint="default" w:ascii="Times New Roman" w:hAnsi="Times New Roman" w:cs="Times New Roman"/>
                <w:sz w:val="24"/>
                <w:highlight w:val="none"/>
              </w:rPr>
              <w:t>份，一正</w:t>
            </w:r>
            <w:r>
              <w:rPr>
                <w:rFonts w:hint="eastAsia" w:ascii="Times New Roman" w:hAnsi="Times New Roman" w:cs="Times New Roman"/>
                <w:sz w:val="24"/>
                <w:highlight w:val="none"/>
                <w:lang w:val="en-US" w:eastAsia="zh-CN"/>
              </w:rPr>
              <w:t>4</w:t>
            </w:r>
            <w:r>
              <w:rPr>
                <w:rFonts w:hint="default" w:ascii="Times New Roman" w:hAnsi="Times New Roman" w:cs="Times New Roman"/>
                <w:sz w:val="24"/>
                <w:highlight w:val="none"/>
              </w:rPr>
              <w:t>副。</w:t>
            </w:r>
          </w:p>
          <w:p>
            <w:pPr>
              <w:snapToGrid w:val="0"/>
              <w:spacing w:line="400" w:lineRule="exact"/>
              <w:ind w:firstLine="0" w:firstLineChars="0"/>
              <w:jc w:val="left"/>
              <w:rPr>
                <w:rFonts w:hint="default" w:ascii="Times New Roman" w:hAnsi="Times New Roman" w:cs="Times New Roman"/>
                <w:sz w:val="24"/>
                <w:highlight w:val="none"/>
              </w:rPr>
            </w:pPr>
            <w:r>
              <w:rPr>
                <w:rFonts w:hint="default" w:ascii="Times New Roman" w:hAnsi="Times New Roman" w:cs="Times New Roman"/>
                <w:sz w:val="24"/>
                <w:highlight w:val="none"/>
              </w:rPr>
              <w:t>2.技术标，纸质版（或彩页形式）</w:t>
            </w:r>
            <w:r>
              <w:rPr>
                <w:rFonts w:hint="eastAsia" w:ascii="Times New Roman" w:hAnsi="Times New Roman" w:cs="Times New Roman"/>
                <w:sz w:val="24"/>
                <w:highlight w:val="none"/>
                <w:lang w:val="en-US" w:eastAsia="zh-CN"/>
              </w:rPr>
              <w:t>5</w:t>
            </w:r>
            <w:r>
              <w:rPr>
                <w:rFonts w:hint="default" w:ascii="Times New Roman" w:hAnsi="Times New Roman" w:cs="Times New Roman"/>
                <w:sz w:val="24"/>
                <w:highlight w:val="none"/>
              </w:rPr>
              <w:t>份</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一正4副</w:t>
            </w:r>
            <w:r>
              <w:rPr>
                <w:rFonts w:hint="default" w:ascii="Times New Roman" w:hAnsi="Times New Roman" w:cs="Times New Roman"/>
                <w:sz w:val="24"/>
                <w:highlight w:val="none"/>
              </w:rPr>
              <w:t>。</w:t>
            </w:r>
          </w:p>
          <w:p>
            <w:pPr>
              <w:snapToGrid w:val="0"/>
              <w:spacing w:line="400" w:lineRule="exact"/>
              <w:ind w:firstLine="0" w:firstLineChars="0"/>
              <w:jc w:val="left"/>
              <w:rPr>
                <w:rFonts w:hint="default" w:ascii="Times New Roman" w:hAnsi="Times New Roman" w:cs="Times New Roman"/>
                <w:sz w:val="24"/>
                <w:highlight w:val="yellow"/>
              </w:rPr>
            </w:pPr>
            <w:r>
              <w:rPr>
                <w:rFonts w:hint="default" w:ascii="Times New Roman" w:hAnsi="Times New Roman" w:cs="Times New Roman"/>
                <w:sz w:val="24"/>
                <w:highlight w:val="none"/>
              </w:rPr>
              <w:t>3.以上技术标、商务标密封在一起，一起提交。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1595" w:type="dxa"/>
            <w:noWrap w:val="0"/>
            <w:vAlign w:val="center"/>
          </w:tcPr>
          <w:p>
            <w:pPr>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竞争性谈判文件递交方式及递交截止时间</w:t>
            </w:r>
          </w:p>
        </w:tc>
        <w:tc>
          <w:tcPr>
            <w:tcW w:w="7253" w:type="dxa"/>
            <w:noWrap w:val="0"/>
            <w:vAlign w:val="center"/>
          </w:tcPr>
          <w:p>
            <w:pPr>
              <w:snapToGrid w:val="0"/>
              <w:spacing w:line="400" w:lineRule="exact"/>
              <w:ind w:firstLine="0" w:firstLineChars="0"/>
              <w:jc w:val="left"/>
              <w:rPr>
                <w:rFonts w:hint="default" w:ascii="Times New Roman" w:hAnsi="Times New Roman" w:cs="Times New Roman"/>
                <w:sz w:val="24"/>
                <w:highlight w:val="yellow"/>
              </w:rPr>
            </w:pPr>
            <w:r>
              <w:rPr>
                <w:rFonts w:hint="default" w:ascii="Times New Roman" w:hAnsi="Times New Roman" w:cs="Times New Roman"/>
                <w:sz w:val="24"/>
                <w:highlight w:val="none"/>
              </w:rPr>
              <w:t>加盖单位公章并密封，于2021年</w:t>
            </w:r>
            <w:r>
              <w:rPr>
                <w:rFonts w:hint="default" w:ascii="Times New Roman" w:hAnsi="Times New Roman" w:cs="Times New Roman"/>
                <w:sz w:val="24"/>
                <w:highlight w:val="none"/>
                <w:lang w:val="en-US" w:eastAsia="zh-CN"/>
              </w:rPr>
              <w:t>9</w:t>
            </w:r>
            <w:r>
              <w:rPr>
                <w:rFonts w:hint="default" w:ascii="Times New Roman" w:hAnsi="Times New Roman" w:cs="Times New Roman"/>
                <w:sz w:val="24"/>
                <w:highlight w:val="none"/>
              </w:rPr>
              <w:t>月</w:t>
            </w:r>
            <w:r>
              <w:rPr>
                <w:rFonts w:hint="eastAsia" w:ascii="Times New Roman" w:hAnsi="Times New Roman" w:cs="Times New Roman"/>
                <w:sz w:val="24"/>
                <w:highlight w:val="none"/>
                <w:lang w:val="en-US" w:eastAsia="zh-CN"/>
              </w:rPr>
              <w:t>7</w:t>
            </w:r>
            <w:r>
              <w:rPr>
                <w:rFonts w:hint="default" w:ascii="Times New Roman" w:hAnsi="Times New Roman" w:cs="Times New Roman"/>
                <w:sz w:val="24"/>
                <w:highlight w:val="none"/>
              </w:rPr>
              <w:t>日1</w:t>
            </w:r>
            <w:r>
              <w:rPr>
                <w:rFonts w:hint="eastAsia" w:ascii="Times New Roman" w:hAnsi="Times New Roman" w:cs="Times New Roman"/>
                <w:sz w:val="24"/>
                <w:highlight w:val="none"/>
                <w:lang w:val="en-US" w:eastAsia="zh-CN"/>
              </w:rPr>
              <w:t>7</w:t>
            </w:r>
            <w:r>
              <w:rPr>
                <w:rFonts w:hint="default" w:ascii="Times New Roman" w:hAnsi="Times New Roman" w:cs="Times New Roman"/>
                <w:sz w:val="24"/>
                <w:highlight w:val="none"/>
              </w:rPr>
              <w:t>：</w:t>
            </w:r>
            <w:r>
              <w:rPr>
                <w:rFonts w:hint="eastAsia" w:ascii="Times New Roman" w:hAnsi="Times New Roman" w:cs="Times New Roman"/>
                <w:sz w:val="24"/>
                <w:highlight w:val="none"/>
                <w:lang w:val="en-US" w:eastAsia="zh-CN"/>
              </w:rPr>
              <w:t>3</w:t>
            </w:r>
            <w:r>
              <w:rPr>
                <w:rFonts w:hint="default" w:ascii="Times New Roman" w:hAnsi="Times New Roman" w:cs="Times New Roman"/>
                <w:sz w:val="24"/>
                <w:highlight w:val="none"/>
                <w:lang w:val="en-US" w:eastAsia="zh-CN"/>
              </w:rPr>
              <w:t>0</w:t>
            </w:r>
            <w:r>
              <w:rPr>
                <w:rFonts w:hint="default" w:ascii="Times New Roman" w:hAnsi="Times New Roman" w:cs="Times New Roman"/>
                <w:sz w:val="24"/>
                <w:highlight w:val="none"/>
              </w:rPr>
              <w:t>前</w:t>
            </w:r>
            <w:r>
              <w:rPr>
                <w:rFonts w:hint="default" w:ascii="Times New Roman" w:hAnsi="Times New Roman" w:cs="Times New Roman"/>
                <w:sz w:val="24"/>
                <w:highlight w:val="none"/>
                <w:lang w:val="en-US" w:eastAsia="zh-CN"/>
              </w:rPr>
              <w:t>送</w:t>
            </w:r>
            <w:r>
              <w:rPr>
                <w:rFonts w:hint="default" w:ascii="Times New Roman" w:hAnsi="Times New Roman" w:cs="Times New Roman"/>
                <w:sz w:val="24"/>
                <w:highlight w:val="none"/>
              </w:rPr>
              <w:t>交</w:t>
            </w:r>
            <w:r>
              <w:rPr>
                <w:rFonts w:hint="default" w:ascii="Times New Roman" w:hAnsi="Times New Roman" w:cs="Times New Roman"/>
                <w:sz w:val="24"/>
                <w:highlight w:val="none"/>
                <w:lang w:val="en-US" w:eastAsia="zh-CN"/>
              </w:rPr>
              <w:t>至</w:t>
            </w:r>
            <w:r>
              <w:rPr>
                <w:rFonts w:hint="default" w:ascii="Times New Roman" w:hAnsi="Times New Roman" w:cs="Times New Roman"/>
                <w:sz w:val="24"/>
                <w:highlight w:val="none"/>
              </w:rPr>
              <w:t>安徽省盐业投资控股集团有限公司。递交截止时间：2021年</w:t>
            </w:r>
            <w:r>
              <w:rPr>
                <w:rFonts w:hint="default" w:ascii="Times New Roman" w:hAnsi="Times New Roman" w:cs="Times New Roman"/>
                <w:sz w:val="24"/>
                <w:highlight w:val="none"/>
                <w:lang w:val="en-US" w:eastAsia="zh-CN"/>
              </w:rPr>
              <w:t>9</w:t>
            </w:r>
            <w:r>
              <w:rPr>
                <w:rFonts w:hint="default" w:ascii="Times New Roman" w:hAnsi="Times New Roman" w:cs="Times New Roman"/>
                <w:sz w:val="24"/>
                <w:highlight w:val="none"/>
              </w:rPr>
              <w:t>月</w:t>
            </w:r>
            <w:r>
              <w:rPr>
                <w:rFonts w:hint="eastAsia" w:ascii="Times New Roman" w:hAnsi="Times New Roman" w:cs="Times New Roman"/>
                <w:sz w:val="24"/>
                <w:highlight w:val="none"/>
                <w:lang w:val="en-US" w:eastAsia="zh-CN"/>
              </w:rPr>
              <w:t>7</w:t>
            </w:r>
            <w:r>
              <w:rPr>
                <w:rFonts w:hint="default" w:ascii="Times New Roman" w:hAnsi="Times New Roman" w:cs="Times New Roman"/>
                <w:sz w:val="24"/>
                <w:highlight w:val="none"/>
              </w:rPr>
              <w:t>日1</w:t>
            </w:r>
            <w:r>
              <w:rPr>
                <w:rFonts w:hint="eastAsia" w:ascii="Times New Roman" w:hAnsi="Times New Roman" w:cs="Times New Roman"/>
                <w:sz w:val="24"/>
                <w:highlight w:val="none"/>
                <w:lang w:val="en-US" w:eastAsia="zh-CN"/>
              </w:rPr>
              <w:t>7</w:t>
            </w:r>
            <w:r>
              <w:rPr>
                <w:rFonts w:hint="default" w:ascii="Times New Roman" w:hAnsi="Times New Roman" w:cs="Times New Roman"/>
                <w:sz w:val="24"/>
                <w:highlight w:val="none"/>
              </w:rPr>
              <w:t>：</w:t>
            </w:r>
            <w:r>
              <w:rPr>
                <w:rFonts w:hint="eastAsia" w:ascii="Times New Roman" w:hAnsi="Times New Roman" w:cs="Times New Roman"/>
                <w:sz w:val="24"/>
                <w:highlight w:val="none"/>
                <w:lang w:val="en-US" w:eastAsia="zh-CN"/>
              </w:rPr>
              <w:t>3</w:t>
            </w:r>
            <w:r>
              <w:rPr>
                <w:rFonts w:hint="default" w:ascii="Times New Roman" w:hAnsi="Times New Roman" w:cs="Times New Roman"/>
                <w:sz w:val="24"/>
                <w:highlight w:val="none"/>
                <w:lang w:val="en-US" w:eastAsia="zh-CN"/>
              </w:rPr>
              <w:t>0</w:t>
            </w:r>
            <w:r>
              <w:rPr>
                <w:rFonts w:hint="default" w:ascii="Times New Roman" w:hAnsi="Times New Roman" w:cs="Times New Roman"/>
                <w:sz w:val="24"/>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691" w:type="dxa"/>
            <w:noWrap w:val="0"/>
            <w:vAlign w:val="center"/>
          </w:tcPr>
          <w:p>
            <w:pPr>
              <w:pStyle w:val="4"/>
              <w:adjustRightInd w:val="0"/>
              <w:snapToGrid w:val="0"/>
              <w:spacing w:after="0" w:line="4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14</w:t>
            </w:r>
          </w:p>
        </w:tc>
        <w:tc>
          <w:tcPr>
            <w:tcW w:w="1595" w:type="dxa"/>
            <w:noWrap w:val="0"/>
            <w:vAlign w:val="center"/>
          </w:tcPr>
          <w:p>
            <w:pPr>
              <w:adjustRightInd w:val="0"/>
              <w:snapToGrid w:val="0"/>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项目方案汇报</w:t>
            </w:r>
          </w:p>
        </w:tc>
        <w:tc>
          <w:tcPr>
            <w:tcW w:w="7253" w:type="dxa"/>
            <w:noWrap w:val="0"/>
            <w:vAlign w:val="center"/>
          </w:tcPr>
          <w:p>
            <w:pPr>
              <w:snapToGrid w:val="0"/>
              <w:spacing w:line="400" w:lineRule="exact"/>
              <w:ind w:firstLine="0" w:firstLineChars="0"/>
              <w:jc w:val="left"/>
              <w:rPr>
                <w:rFonts w:hint="default" w:ascii="Times New Roman" w:hAnsi="Times New Roman" w:cs="Times New Roman" w:eastAsiaTheme="minorEastAsia"/>
                <w:sz w:val="24"/>
                <w:highlight w:val="yellow"/>
                <w:lang w:val="en-US" w:eastAsia="zh-CN"/>
              </w:rPr>
            </w:pPr>
            <w:r>
              <w:rPr>
                <w:rFonts w:hint="eastAsia" w:ascii="Times New Roman" w:hAnsi="Times New Roman" w:cs="Times New Roman"/>
                <w:sz w:val="24"/>
                <w:highlight w:val="none"/>
                <w:lang w:val="en-US" w:eastAsia="zh-CN"/>
              </w:rPr>
              <w:t>另行通知</w:t>
            </w:r>
          </w:p>
        </w:tc>
      </w:tr>
    </w:tbl>
    <w:p>
      <w:pPr>
        <w:ind w:firstLine="0" w:firstLineChars="0"/>
        <w:rPr>
          <w:rFonts w:hint="default" w:ascii="Times New Roman" w:hAnsi="Times New Roman" w:cs="Times New Roman"/>
          <w:sz w:val="36"/>
          <w:szCs w:val="36"/>
        </w:rPr>
      </w:pPr>
    </w:p>
    <w:p>
      <w:pPr>
        <w:ind w:firstLine="723"/>
        <w:jc w:val="center"/>
        <w:rPr>
          <w:rFonts w:hint="default" w:ascii="Times New Roman" w:hAnsi="Times New Roman" w:cs="Times New Roman"/>
          <w:b/>
          <w:sz w:val="36"/>
          <w:szCs w:val="36"/>
        </w:rPr>
      </w:pPr>
      <w:r>
        <w:rPr>
          <w:rFonts w:hint="default" w:ascii="Times New Roman" w:hAnsi="Times New Roman" w:cs="Times New Roman"/>
          <w:b/>
          <w:sz w:val="36"/>
          <w:szCs w:val="36"/>
        </w:rPr>
        <w:t>二、参选须知</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bCs/>
          <w:sz w:val="28"/>
          <w:szCs w:val="28"/>
          <w:lang w:val="en-US" w:eastAsia="zh-CN"/>
        </w:rPr>
        <w:t>一、</w:t>
      </w:r>
      <w:r>
        <w:rPr>
          <w:rFonts w:hint="default" w:ascii="Times New Roman" w:hAnsi="Times New Roman" w:cs="Times New Roman"/>
          <w:b/>
          <w:bCs/>
          <w:sz w:val="28"/>
          <w:szCs w:val="28"/>
        </w:rPr>
        <w:t>总则</w:t>
      </w:r>
    </w:p>
    <w:p>
      <w:pPr>
        <w:pStyle w:val="4"/>
        <w:spacing w:before="120" w:beforeLines="50" w:after="0"/>
        <w:ind w:firstLine="562"/>
        <w:rPr>
          <w:rFonts w:hint="eastAsia" w:ascii="楷体" w:hAnsi="楷体" w:eastAsia="楷体" w:cs="楷体"/>
          <w:b w:val="0"/>
          <w:bCs w:val="0"/>
          <w:sz w:val="28"/>
          <w:szCs w:val="28"/>
        </w:rPr>
      </w:pPr>
      <w:r>
        <w:rPr>
          <w:rFonts w:hint="default" w:ascii="Times New Roman" w:hAnsi="Times New Roman" w:eastAsia="楷体" w:cs="Times New Roman"/>
          <w:b w:val="0"/>
          <w:bCs w:val="0"/>
          <w:sz w:val="28"/>
          <w:szCs w:val="28"/>
        </w:rPr>
        <w:t>1.</w:t>
      </w:r>
      <w:r>
        <w:rPr>
          <w:rFonts w:hint="eastAsia" w:ascii="楷体" w:hAnsi="楷体" w:eastAsia="楷体" w:cs="楷体"/>
          <w:b w:val="0"/>
          <w:bCs w:val="0"/>
          <w:sz w:val="28"/>
          <w:szCs w:val="28"/>
        </w:rPr>
        <w:t>定义</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本竞争性谈判文件使用的下列词语具有如下规定的意义：</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1.1“相关负责人”（即发包人）指</w:t>
      </w:r>
      <w:r>
        <w:rPr>
          <w:rFonts w:hint="default" w:ascii="Times New Roman" w:hAnsi="Times New Roman" w:cs="Times New Roman"/>
          <w:sz w:val="28"/>
          <w:szCs w:val="28"/>
        </w:rPr>
        <w:t>安徽省盐业投资控股集团有限公司</w:t>
      </w:r>
      <w:r>
        <w:rPr>
          <w:rFonts w:hint="default" w:ascii="Times New Roman" w:hAnsi="Times New Roman" w:cs="Times New Roman"/>
          <w:bCs/>
          <w:sz w:val="28"/>
          <w:szCs w:val="28"/>
        </w:rPr>
        <w:t>。</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1.2“参选人”指向相关负责人提交竞争性谈判文件的当事人。</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1.3“竞争性谈判文件”指由相关负责人发出的本文件（包括全部章节、附件）及澄清补充文件。</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1.4“竞争性谈判文件”指参选人根据本竞争性谈判文件向相关负责人提交的全部文件。</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1.5“书面函件”指打印或印刷的函件，包括电传、电报和传真。</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2.</w:t>
      </w:r>
      <w:r>
        <w:rPr>
          <w:rFonts w:hint="default" w:ascii="楷体" w:hAnsi="楷体" w:eastAsia="楷体" w:cs="楷体"/>
          <w:b w:val="0"/>
          <w:bCs w:val="0"/>
          <w:sz w:val="28"/>
          <w:szCs w:val="28"/>
        </w:rPr>
        <w:t>竞争性谈判说明</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2.2项目概况</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2.2.1项目名称：见参选须知前附表。</w:t>
      </w:r>
    </w:p>
    <w:p>
      <w:pPr>
        <w:ind w:left="-1" w:firstLine="560"/>
        <w:rPr>
          <w:rFonts w:hint="default" w:ascii="Times New Roman" w:hAnsi="Times New Roman" w:cs="Times New Roman"/>
          <w:bCs/>
          <w:sz w:val="28"/>
          <w:szCs w:val="28"/>
        </w:rPr>
      </w:pPr>
      <w:r>
        <w:rPr>
          <w:rFonts w:hint="default" w:ascii="Times New Roman" w:hAnsi="Times New Roman" w:cs="Times New Roman"/>
          <w:sz w:val="28"/>
          <w:szCs w:val="28"/>
        </w:rPr>
        <w:t>2.2.2实施地点：</w:t>
      </w:r>
      <w:r>
        <w:rPr>
          <w:rFonts w:hint="default" w:ascii="Times New Roman" w:hAnsi="Times New Roman" w:cs="Times New Roman"/>
          <w:bCs/>
          <w:sz w:val="28"/>
          <w:szCs w:val="28"/>
        </w:rPr>
        <w:t>见参选须知前附表。</w:t>
      </w:r>
    </w:p>
    <w:p>
      <w:pPr>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2.2.3规模：见参选须知前附表。</w:t>
      </w:r>
    </w:p>
    <w:p>
      <w:pPr>
        <w:ind w:left="-1" w:firstLine="560"/>
        <w:rPr>
          <w:rFonts w:hint="default" w:ascii="Times New Roman" w:hAnsi="Times New Roman" w:cs="Times New Roman"/>
          <w:bCs/>
          <w:sz w:val="28"/>
          <w:szCs w:val="28"/>
        </w:rPr>
      </w:pPr>
      <w:r>
        <w:rPr>
          <w:rFonts w:hint="default" w:ascii="Times New Roman" w:hAnsi="Times New Roman" w:cs="Times New Roman"/>
          <w:sz w:val="28"/>
          <w:szCs w:val="28"/>
        </w:rPr>
        <w:t>2.2.4投资：</w:t>
      </w:r>
      <w:r>
        <w:rPr>
          <w:rFonts w:hint="default" w:ascii="Times New Roman" w:hAnsi="Times New Roman" w:cs="Times New Roman"/>
          <w:bCs/>
          <w:sz w:val="28"/>
          <w:szCs w:val="28"/>
        </w:rPr>
        <w:t>见参选须知前附表。</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2.3竞争性谈判范围</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2.3.1 本竞争性谈判项目的范围：见参选须知前附表。</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2.3.2 本竞争性谈判项目的实施周期：见参选须知前附表。</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3．</w:t>
      </w:r>
      <w:r>
        <w:rPr>
          <w:rFonts w:hint="default" w:ascii="楷体" w:hAnsi="楷体" w:eastAsia="楷体" w:cs="楷体"/>
          <w:b w:val="0"/>
          <w:bCs w:val="0"/>
          <w:sz w:val="28"/>
          <w:szCs w:val="28"/>
        </w:rPr>
        <w:t>资金来源</w:t>
      </w:r>
    </w:p>
    <w:p>
      <w:pPr>
        <w:ind w:left="-1" w:firstLine="560"/>
        <w:rPr>
          <w:rFonts w:hint="default" w:ascii="Times New Roman" w:hAnsi="Times New Roman" w:cs="Times New Roman"/>
          <w:bCs/>
          <w:sz w:val="28"/>
          <w:szCs w:val="28"/>
        </w:rPr>
      </w:pPr>
      <w:r>
        <w:rPr>
          <w:rFonts w:hint="default" w:ascii="Times New Roman" w:hAnsi="Times New Roman" w:cs="Times New Roman"/>
          <w:sz w:val="28"/>
          <w:szCs w:val="28"/>
        </w:rPr>
        <w:t>3.1</w:t>
      </w:r>
      <w:r>
        <w:rPr>
          <w:rFonts w:hint="default" w:ascii="Times New Roman" w:hAnsi="Times New Roman" w:cs="Times New Roman"/>
          <w:bCs/>
          <w:sz w:val="28"/>
          <w:szCs w:val="28"/>
        </w:rPr>
        <w:t xml:space="preserve"> 本竞争性谈判项目资金来源见参选须知前附表，其中部分资金用于本项目合同项下的合格支付。</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4．</w:t>
      </w:r>
      <w:r>
        <w:rPr>
          <w:rFonts w:hint="default" w:ascii="楷体" w:hAnsi="楷体" w:eastAsia="楷体" w:cs="楷体"/>
          <w:b w:val="0"/>
          <w:bCs w:val="0"/>
          <w:sz w:val="28"/>
          <w:szCs w:val="28"/>
        </w:rPr>
        <w:t>资格要求</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见参选须知前附表。</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5．</w:t>
      </w:r>
      <w:r>
        <w:rPr>
          <w:rFonts w:hint="default" w:ascii="楷体" w:hAnsi="楷体" w:eastAsia="楷体" w:cs="楷体"/>
          <w:b w:val="0"/>
          <w:bCs w:val="0"/>
          <w:sz w:val="28"/>
          <w:szCs w:val="28"/>
        </w:rPr>
        <w:t>投标费用</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5.1</w:t>
      </w:r>
      <w:r>
        <w:rPr>
          <w:rFonts w:hint="default" w:ascii="Times New Roman" w:hAnsi="Times New Roman" w:cs="Times New Roman"/>
          <w:sz w:val="28"/>
          <w:szCs w:val="28"/>
        </w:rPr>
        <w:t>不论投标结果如何，参选人应承担购买竞争性谈判文件等相关资料及其竞争性谈判文件编制与递交所涉及的一切费用。</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5.2 参选人应承担其参加本竞争性谈判活动自身所发生的其他一切费用</w:t>
      </w:r>
      <w:r>
        <w:rPr>
          <w:rFonts w:hint="default" w:ascii="Times New Roman" w:hAnsi="Times New Roman" w:cs="Times New Roman"/>
          <w:sz w:val="28"/>
          <w:szCs w:val="28"/>
        </w:rPr>
        <w:t>，相关负责人对上述费用均不负任何责任</w:t>
      </w:r>
      <w:r>
        <w:rPr>
          <w:rFonts w:hint="default" w:ascii="Times New Roman" w:hAnsi="Times New Roman" w:cs="Times New Roman"/>
          <w:bCs/>
          <w:sz w:val="28"/>
          <w:szCs w:val="28"/>
        </w:rPr>
        <w:t>。</w:t>
      </w:r>
    </w:p>
    <w:p>
      <w:pPr>
        <w:tabs>
          <w:tab w:val="left" w:pos="105"/>
        </w:tabs>
        <w:ind w:left="-1" w:firstLine="560"/>
        <w:rPr>
          <w:rFonts w:hint="default" w:ascii="Times New Roman" w:hAnsi="Times New Roman" w:cs="Times New Roman"/>
          <w:b/>
          <w:sz w:val="28"/>
          <w:szCs w:val="28"/>
        </w:rPr>
      </w:pPr>
      <w:r>
        <w:rPr>
          <w:rFonts w:hint="default" w:ascii="Times New Roman" w:hAnsi="Times New Roman" w:cs="Times New Roman"/>
          <w:bCs/>
          <w:sz w:val="28"/>
          <w:szCs w:val="28"/>
          <w:lang w:val="en-US" w:eastAsia="zh-CN"/>
        </w:rPr>
        <w:t>二、</w:t>
      </w:r>
      <w:r>
        <w:rPr>
          <w:rFonts w:hint="default" w:ascii="Times New Roman" w:hAnsi="Times New Roman" w:cs="Times New Roman"/>
          <w:b/>
          <w:sz w:val="28"/>
          <w:szCs w:val="28"/>
        </w:rPr>
        <w:t>竞争性谈判文件</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6.</w:t>
      </w:r>
      <w:r>
        <w:rPr>
          <w:rFonts w:hint="default" w:ascii="楷体" w:hAnsi="楷体" w:eastAsia="楷体" w:cs="楷体"/>
          <w:b w:val="0"/>
          <w:bCs w:val="0"/>
          <w:sz w:val="28"/>
          <w:szCs w:val="28"/>
        </w:rPr>
        <w:t>竞争性谈判文件的组成</w:t>
      </w:r>
    </w:p>
    <w:p>
      <w:pPr>
        <w:tabs>
          <w:tab w:val="left" w:pos="105"/>
        </w:tabs>
        <w:ind w:left="-1" w:firstLine="560"/>
        <w:rPr>
          <w:rFonts w:hint="default" w:ascii="Times New Roman" w:hAnsi="Times New Roman" w:cs="Times New Roman"/>
          <w:sz w:val="28"/>
          <w:szCs w:val="28"/>
        </w:rPr>
      </w:pPr>
      <w:r>
        <w:rPr>
          <w:rFonts w:hint="default" w:ascii="Times New Roman" w:hAnsi="Times New Roman" w:cs="Times New Roman"/>
          <w:bCs/>
          <w:sz w:val="28"/>
          <w:szCs w:val="28"/>
        </w:rPr>
        <w:t>6.1</w:t>
      </w:r>
      <w:r>
        <w:rPr>
          <w:rFonts w:hint="default" w:ascii="Times New Roman" w:hAnsi="Times New Roman" w:cs="Times New Roman"/>
          <w:sz w:val="28"/>
          <w:szCs w:val="28"/>
        </w:rPr>
        <w:t>本竞争性谈判文件包括下列文件，以及所有按参选须知第 8条发出的补充通知：</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第一章  竞争性谈判公告</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第二章  参选须知及前附表</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第三章  评选办法</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第四章  参选文件格式</w:t>
      </w:r>
    </w:p>
    <w:p>
      <w:pPr>
        <w:tabs>
          <w:tab w:val="left" w:pos="105"/>
        </w:tabs>
        <w:ind w:left="-1" w:firstLine="560"/>
        <w:rPr>
          <w:rFonts w:hint="default" w:ascii="Times New Roman" w:hAnsi="Times New Roman" w:cs="Times New Roman"/>
          <w:bCs/>
          <w:sz w:val="28"/>
          <w:szCs w:val="28"/>
        </w:rPr>
      </w:pPr>
      <w:r>
        <w:rPr>
          <w:rFonts w:hint="default" w:ascii="Times New Roman" w:hAnsi="Times New Roman" w:cs="Times New Roman"/>
          <w:bCs/>
          <w:sz w:val="28"/>
          <w:szCs w:val="28"/>
        </w:rPr>
        <w:t>第五章  合同条款</w:t>
      </w:r>
    </w:p>
    <w:p>
      <w:pPr>
        <w:tabs>
          <w:tab w:val="left" w:pos="105"/>
        </w:tabs>
        <w:ind w:left="-1" w:firstLine="56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6.2 除6.1内容外，在递交参选文件截止时间 </w:t>
      </w:r>
      <w:r>
        <w:rPr>
          <w:rFonts w:hint="default" w:ascii="Times New Roman" w:hAnsi="Times New Roman" w:cs="Times New Roman"/>
          <w:b w:val="0"/>
          <w:bCs/>
          <w:sz w:val="28"/>
          <w:szCs w:val="28"/>
          <w:highlight w:val="none"/>
          <w:u w:val="single"/>
        </w:rPr>
        <w:t xml:space="preserve"> 3</w:t>
      </w:r>
      <w:r>
        <w:rPr>
          <w:rFonts w:hint="default" w:ascii="Times New Roman" w:hAnsi="Times New Roman" w:cs="Times New Roman"/>
          <w:b/>
          <w:sz w:val="28"/>
          <w:szCs w:val="28"/>
          <w:highlight w:val="none"/>
          <w:u w:val="single"/>
        </w:rPr>
        <w:t xml:space="preserve"> </w:t>
      </w:r>
      <w:r>
        <w:rPr>
          <w:rFonts w:hint="default" w:ascii="Times New Roman" w:hAnsi="Times New Roman" w:cs="Times New Roman"/>
          <w:sz w:val="28"/>
          <w:szCs w:val="28"/>
          <w:highlight w:val="none"/>
        </w:rPr>
        <w:t>天前，以书面形式发出的对竞争性谈判文件的澄清或修改内容，均为竞争性谈判文件的组成部分，对相关负责人和参选人起约束作用。</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6.3 参选人获取竞争性谈判文件后，应仔细检查竞争性谈判文件的所有内容，如有残缺等问题应在获得竞争性谈判文件3日内向相关负责人提出，否则，由此引起的损失由参选人自己承担。参选人同时应认真审阅竞争性谈判文件中所有的事项、格式、条款和规范要求等，若参选人的竞争性谈判文件没有按竞争性谈判文件要求提交全部资料，或参选文件实质上没有响应竞争性谈判文件的要求，相关负责人将有权予以拒绝，并且不允许参选人通过修改或撤消其不符合要求的差异或保留使之成为具有响应性的参选文件。</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7．</w:t>
      </w:r>
      <w:r>
        <w:rPr>
          <w:rFonts w:hint="default" w:ascii="楷体" w:hAnsi="楷体" w:eastAsia="楷体" w:cs="楷体"/>
          <w:b w:val="0"/>
          <w:bCs w:val="0"/>
          <w:sz w:val="28"/>
          <w:szCs w:val="28"/>
        </w:rPr>
        <w:t>竞争性谈判答疑</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7.1 参选人若对竞争性谈判文件（包括相关内容）有疑问，可以</w:t>
      </w:r>
      <w:r>
        <w:rPr>
          <w:rFonts w:hint="eastAsia" w:ascii="Times New Roman" w:hAnsi="Times New Roman" w:cs="Times New Roman"/>
          <w:sz w:val="28"/>
          <w:szCs w:val="28"/>
          <w:lang w:val="en-US" w:eastAsia="zh-CN"/>
        </w:rPr>
        <w:t>致电方式联系</w:t>
      </w:r>
      <w:r>
        <w:rPr>
          <w:rFonts w:hint="default" w:ascii="Times New Roman" w:hAnsi="Times New Roman" w:cs="Times New Roman"/>
          <w:sz w:val="28"/>
          <w:szCs w:val="28"/>
        </w:rPr>
        <w:t>相关负责人，见参选须知前附表要求。</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7.2 竞争性谈判答疑将以书面形式答复给所有参选人，参选人收到答疑后24小时内以书面形式确认收到。答疑将作为竞争性谈判文件的一部分，视为签订合同和结算的依据。</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7.3 若竞争性谈判答疑与竞争性谈判文件有矛盾，以最后书面文件形式发出的答疑为准。</w:t>
      </w:r>
    </w:p>
    <w:p>
      <w:pPr>
        <w:pStyle w:val="4"/>
        <w:spacing w:before="120" w:beforeLines="50" w:after="0"/>
        <w:ind w:firstLine="562"/>
        <w:rPr>
          <w:rFonts w:hint="default" w:ascii="楷体" w:hAnsi="楷体" w:eastAsia="楷体" w:cs="楷体"/>
          <w:b w:val="0"/>
          <w:bCs w:val="0"/>
          <w:sz w:val="28"/>
          <w:szCs w:val="28"/>
        </w:rPr>
      </w:pPr>
      <w:r>
        <w:rPr>
          <w:rFonts w:hint="default" w:ascii="Times New Roman" w:hAnsi="Times New Roman" w:eastAsia="楷体" w:cs="Times New Roman"/>
          <w:b w:val="0"/>
          <w:bCs w:val="0"/>
          <w:sz w:val="28"/>
          <w:szCs w:val="28"/>
        </w:rPr>
        <w:t>8.</w:t>
      </w:r>
      <w:r>
        <w:rPr>
          <w:rFonts w:hint="eastAsia" w:ascii="Times New Roman" w:hAnsi="Times New Roman" w:eastAsia="楷体" w:cs="Times New Roman"/>
          <w:b w:val="0"/>
          <w:bCs w:val="0"/>
          <w:sz w:val="28"/>
          <w:szCs w:val="28"/>
          <w:lang w:val="en-US" w:eastAsia="zh-CN"/>
        </w:rPr>
        <w:t xml:space="preserve"> </w:t>
      </w:r>
      <w:r>
        <w:rPr>
          <w:rFonts w:hint="default" w:ascii="楷体" w:hAnsi="楷体" w:eastAsia="楷体" w:cs="楷体"/>
          <w:b w:val="0"/>
          <w:bCs w:val="0"/>
          <w:sz w:val="28"/>
          <w:szCs w:val="28"/>
        </w:rPr>
        <w:t>竞争性谈判文件的澄清与修改</w:t>
      </w:r>
    </w:p>
    <w:p>
      <w:pPr>
        <w:pStyle w:val="4"/>
        <w:spacing w:before="120" w:beforeLines="50" w:after="0"/>
        <w:ind w:firstLine="56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8.1竞争性谈判文件发出后，在提交竞争性谈判文件截止时间</w:t>
      </w:r>
      <w:r>
        <w:rPr>
          <w:rFonts w:hint="default" w:ascii="Times New Roman" w:hAnsi="Times New Roman" w:cs="Times New Roman"/>
          <w:b/>
          <w:sz w:val="28"/>
          <w:szCs w:val="28"/>
          <w:highlight w:val="none"/>
          <w:u w:val="single"/>
        </w:rPr>
        <w:t xml:space="preserve"> </w:t>
      </w:r>
      <w:r>
        <w:rPr>
          <w:rFonts w:hint="default" w:ascii="Times New Roman" w:hAnsi="Times New Roman" w:cs="Times New Roman"/>
          <w:b w:val="0"/>
          <w:bCs/>
          <w:sz w:val="28"/>
          <w:szCs w:val="28"/>
          <w:highlight w:val="none"/>
          <w:u w:val="single"/>
        </w:rPr>
        <w:t>3</w:t>
      </w:r>
      <w:r>
        <w:rPr>
          <w:rFonts w:hint="default" w:ascii="Times New Roman" w:hAnsi="Times New Roman" w:cs="Times New Roman"/>
          <w:b/>
          <w:sz w:val="28"/>
          <w:szCs w:val="28"/>
          <w:highlight w:val="none"/>
          <w:u w:val="single"/>
        </w:rPr>
        <w:t xml:space="preserve"> </w:t>
      </w:r>
      <w:r>
        <w:rPr>
          <w:rFonts w:hint="default" w:ascii="Times New Roman" w:hAnsi="Times New Roman" w:cs="Times New Roman"/>
          <w:sz w:val="28"/>
          <w:szCs w:val="28"/>
          <w:highlight w:val="none"/>
        </w:rPr>
        <w:t>日前，相关负责人可对竞争性谈判文件进行必要的澄清或修改。</w:t>
      </w:r>
    </w:p>
    <w:p>
      <w:pPr>
        <w:pStyle w:val="4"/>
        <w:spacing w:before="120" w:beforeLines="50" w:after="0"/>
        <w:ind w:firstLine="560"/>
        <w:rPr>
          <w:rFonts w:hint="default" w:ascii="Times New Roman" w:hAnsi="Times New Roman" w:cs="Times New Roman"/>
          <w:sz w:val="28"/>
          <w:szCs w:val="28"/>
        </w:rPr>
      </w:pPr>
      <w:r>
        <w:rPr>
          <w:rFonts w:hint="default" w:ascii="Times New Roman" w:hAnsi="Times New Roman" w:cs="Times New Roman"/>
          <w:sz w:val="28"/>
          <w:szCs w:val="28"/>
        </w:rPr>
        <w:t>8.2竞争性谈判文件的修改将以书面形式发送给所有参选人，参选人应于收到该修改文件后24小时内，以书面形式给予确认，竞争性谈判文件的修改内容作为竞争性谈判文件的组成部分，具有约束作用。</w:t>
      </w:r>
    </w:p>
    <w:p>
      <w:pPr>
        <w:pStyle w:val="4"/>
        <w:spacing w:before="120" w:beforeLines="50" w:after="0"/>
        <w:ind w:firstLine="560"/>
        <w:rPr>
          <w:rFonts w:hint="default" w:ascii="Times New Roman" w:hAnsi="Times New Roman" w:cs="Times New Roman"/>
          <w:sz w:val="28"/>
          <w:szCs w:val="28"/>
        </w:rPr>
      </w:pPr>
      <w:r>
        <w:rPr>
          <w:rFonts w:hint="default" w:ascii="Times New Roman" w:hAnsi="Times New Roman" w:cs="Times New Roman"/>
          <w:sz w:val="28"/>
          <w:szCs w:val="28"/>
        </w:rPr>
        <w:t>8.3 竞争性谈判文件的澄清、修改、补充等内容均以书面形式明确的内容为准。当竞争性谈判文件的澄清、修改、补充等在同一内容的表述不一致时，以最后发出的书面文件为准。</w:t>
      </w:r>
    </w:p>
    <w:p>
      <w:pPr>
        <w:pStyle w:val="4"/>
        <w:spacing w:before="120" w:beforeLines="50" w:after="0"/>
        <w:ind w:firstLine="560"/>
        <w:rPr>
          <w:rFonts w:hint="default" w:ascii="Times New Roman" w:hAnsi="Times New Roman" w:cs="Times New Roman"/>
          <w:sz w:val="28"/>
          <w:szCs w:val="28"/>
        </w:rPr>
      </w:pPr>
      <w:r>
        <w:rPr>
          <w:rFonts w:hint="default" w:ascii="Times New Roman" w:hAnsi="Times New Roman" w:cs="Times New Roman"/>
          <w:sz w:val="28"/>
          <w:szCs w:val="28"/>
        </w:rPr>
        <w:t>8.4为使参选人在编制竞争性谈判文件时有充分的时间对竞争性谈判文件的澄清、修改、补充等内容考虑进去，相关负责人将酌情延长递交竞争性谈判文件的截止时间，具体时间将在竞争性谈判文件的修改、补充通知中予以明确。</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bCs/>
          <w:sz w:val="28"/>
          <w:szCs w:val="28"/>
          <w:lang w:val="en-US" w:eastAsia="zh-CN"/>
        </w:rPr>
        <w:t>三、</w:t>
      </w:r>
      <w:r>
        <w:rPr>
          <w:rFonts w:hint="default" w:ascii="Times New Roman" w:hAnsi="Times New Roman" w:cs="Times New Roman"/>
          <w:b/>
          <w:bCs/>
          <w:sz w:val="28"/>
          <w:szCs w:val="28"/>
        </w:rPr>
        <w:t>参选文件的编制</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9．</w:t>
      </w:r>
      <w:r>
        <w:rPr>
          <w:rFonts w:hint="default" w:ascii="楷体" w:hAnsi="楷体" w:eastAsia="楷体" w:cs="楷体"/>
          <w:b w:val="0"/>
          <w:bCs w:val="0"/>
          <w:sz w:val="28"/>
          <w:szCs w:val="28"/>
        </w:rPr>
        <w:t>参选文件的语言及度量衡单位</w:t>
      </w:r>
    </w:p>
    <w:p>
      <w:pPr>
        <w:pStyle w:val="4"/>
        <w:spacing w:before="120" w:beforeLines="50" w:after="0"/>
        <w:ind w:firstLine="560"/>
        <w:rPr>
          <w:rFonts w:hint="default" w:ascii="Times New Roman" w:hAnsi="Times New Roman" w:cs="Times New Roman"/>
          <w:sz w:val="28"/>
          <w:szCs w:val="28"/>
        </w:rPr>
      </w:pPr>
      <w:r>
        <w:rPr>
          <w:rFonts w:hint="default" w:ascii="Times New Roman" w:hAnsi="Times New Roman" w:cs="Times New Roman"/>
          <w:sz w:val="28"/>
          <w:szCs w:val="28"/>
        </w:rPr>
        <w:t>9.1 参选文件和与竞争性谈判有关的所有文件均应使用</w:t>
      </w:r>
      <w:r>
        <w:rPr>
          <w:rFonts w:hint="default" w:ascii="Times New Roman" w:hAnsi="Times New Roman" w:cs="Times New Roman"/>
          <w:sz w:val="28"/>
          <w:szCs w:val="28"/>
          <w:u w:val="single"/>
        </w:rPr>
        <w:t>　汉语　</w:t>
      </w:r>
      <w:r>
        <w:rPr>
          <w:rFonts w:hint="default" w:ascii="Times New Roman" w:hAnsi="Times New Roman" w:cs="Times New Roman"/>
          <w:sz w:val="28"/>
          <w:szCs w:val="28"/>
        </w:rPr>
        <w:t>。</w:t>
      </w:r>
    </w:p>
    <w:p>
      <w:pPr>
        <w:pStyle w:val="4"/>
        <w:spacing w:before="120" w:beforeLines="50" w:after="0"/>
        <w:ind w:firstLine="560"/>
        <w:rPr>
          <w:rFonts w:hint="default" w:ascii="Times New Roman" w:hAnsi="Times New Roman" w:cs="Times New Roman"/>
          <w:sz w:val="28"/>
          <w:szCs w:val="28"/>
        </w:rPr>
      </w:pPr>
      <w:r>
        <w:rPr>
          <w:rFonts w:hint="default" w:ascii="Times New Roman" w:hAnsi="Times New Roman" w:cs="Times New Roman"/>
          <w:sz w:val="28"/>
          <w:szCs w:val="28"/>
        </w:rPr>
        <w:t>9.2 除工程规范另有规定外，参选文件使用的度量衡单位，均采用中华人民共和国法定计量单位。</w:t>
      </w:r>
    </w:p>
    <w:p>
      <w:pPr>
        <w:pStyle w:val="4"/>
        <w:numPr>
          <w:ilvl w:val="0"/>
          <w:numId w:val="1"/>
        </w:numPr>
        <w:spacing w:before="120" w:beforeLines="50" w:after="0"/>
        <w:ind w:left="1282" w:leftChars="0" w:hanging="720" w:firstLineChars="0"/>
        <w:rPr>
          <w:rFonts w:hint="eastAsia" w:ascii="楷体" w:hAnsi="楷体" w:eastAsia="楷体" w:cs="楷体"/>
          <w:b w:val="0"/>
          <w:bCs w:val="0"/>
          <w:sz w:val="28"/>
          <w:szCs w:val="28"/>
        </w:rPr>
      </w:pPr>
      <w:r>
        <w:rPr>
          <w:rFonts w:hint="eastAsia" w:ascii="楷体" w:hAnsi="楷体" w:eastAsia="楷体" w:cs="楷体"/>
          <w:b w:val="0"/>
          <w:bCs w:val="0"/>
          <w:sz w:val="28"/>
          <w:szCs w:val="28"/>
        </w:rPr>
        <w:t>参选文件的组成</w:t>
      </w:r>
    </w:p>
    <w:p>
      <w:pPr>
        <w:numPr>
          <w:ilvl w:val="1"/>
          <w:numId w:val="2"/>
        </w:numPr>
        <w:tabs>
          <w:tab w:val="left" w:pos="840"/>
        </w:tabs>
        <w:ind w:firstLineChars="0"/>
        <w:rPr>
          <w:rFonts w:hint="default" w:ascii="Times New Roman" w:hAnsi="Times New Roman" w:cs="Times New Roman"/>
          <w:b w:val="0"/>
          <w:bCs/>
          <w:sz w:val="28"/>
          <w:szCs w:val="28"/>
        </w:rPr>
      </w:pPr>
      <w:r>
        <w:rPr>
          <w:rFonts w:hint="default" w:ascii="Times New Roman" w:hAnsi="Times New Roman" w:cs="Times New Roman"/>
          <w:b w:val="0"/>
          <w:bCs/>
          <w:sz w:val="28"/>
          <w:szCs w:val="28"/>
        </w:rPr>
        <w:t>参选文件</w:t>
      </w:r>
    </w:p>
    <w:p>
      <w:pPr>
        <w:ind w:firstLine="1038" w:firstLineChars="371"/>
        <w:rPr>
          <w:rFonts w:hint="default" w:ascii="Times New Roman" w:hAnsi="Times New Roman" w:cs="Times New Roman"/>
          <w:sz w:val="28"/>
          <w:szCs w:val="28"/>
        </w:rPr>
      </w:pPr>
      <w:r>
        <w:rPr>
          <w:rFonts w:hint="default" w:ascii="Times New Roman" w:hAnsi="Times New Roman" w:cs="Times New Roman"/>
          <w:sz w:val="28"/>
          <w:szCs w:val="28"/>
        </w:rPr>
        <w:t>10.1.1 参选文件目录</w:t>
      </w:r>
    </w:p>
    <w:p>
      <w:pPr>
        <w:ind w:left="1070" w:firstLine="0" w:firstLineChars="0"/>
        <w:rPr>
          <w:rFonts w:hint="default" w:ascii="Times New Roman" w:hAnsi="Times New Roman" w:cs="Times New Roman"/>
          <w:sz w:val="28"/>
          <w:szCs w:val="28"/>
        </w:rPr>
      </w:pPr>
      <w:bookmarkStart w:id="2" w:name="_Hlk80278734"/>
      <w:r>
        <w:rPr>
          <w:rFonts w:hint="default" w:ascii="Times New Roman" w:hAnsi="Times New Roman" w:cs="Times New Roman"/>
          <w:sz w:val="28"/>
          <w:szCs w:val="28"/>
        </w:rPr>
        <w:t>10.1.2</w:t>
      </w:r>
      <w:bookmarkEnd w:id="2"/>
      <w:r>
        <w:rPr>
          <w:rFonts w:hint="default" w:ascii="Times New Roman" w:hAnsi="Times New Roman" w:cs="Times New Roman"/>
          <w:sz w:val="28"/>
          <w:szCs w:val="28"/>
        </w:rPr>
        <w:t xml:space="preserve"> 服务承诺书</w:t>
      </w:r>
    </w:p>
    <w:p>
      <w:pPr>
        <w:ind w:left="1070" w:firstLine="0" w:firstLineChars="0"/>
        <w:rPr>
          <w:rFonts w:hint="default" w:ascii="Times New Roman" w:hAnsi="Times New Roman" w:cs="Times New Roman"/>
          <w:sz w:val="28"/>
          <w:szCs w:val="28"/>
        </w:rPr>
      </w:pPr>
      <w:bookmarkStart w:id="3" w:name="_Hlk80278762"/>
      <w:r>
        <w:rPr>
          <w:rFonts w:hint="default" w:ascii="Times New Roman" w:hAnsi="Times New Roman" w:cs="Times New Roman"/>
          <w:sz w:val="28"/>
          <w:szCs w:val="28"/>
        </w:rPr>
        <w:t>10.1.3</w:t>
      </w:r>
      <w:bookmarkEnd w:id="3"/>
      <w:r>
        <w:rPr>
          <w:rFonts w:hint="default" w:ascii="Times New Roman" w:hAnsi="Times New Roman" w:cs="Times New Roman"/>
          <w:sz w:val="28"/>
          <w:szCs w:val="28"/>
        </w:rPr>
        <w:t xml:space="preserve"> 企业法定代表人证明书及法人授权委托证明书</w:t>
      </w:r>
    </w:p>
    <w:p>
      <w:pPr>
        <w:ind w:left="1070" w:firstLine="0" w:firstLineChars="0"/>
        <w:rPr>
          <w:rFonts w:hint="default" w:ascii="Times New Roman" w:hAnsi="Times New Roman" w:cs="Times New Roman"/>
          <w:sz w:val="28"/>
          <w:szCs w:val="28"/>
        </w:rPr>
      </w:pPr>
      <w:r>
        <w:rPr>
          <w:rFonts w:hint="default" w:ascii="Times New Roman" w:hAnsi="Times New Roman" w:cs="Times New Roman"/>
          <w:sz w:val="28"/>
          <w:szCs w:val="28"/>
        </w:rPr>
        <w:t>10.1.4 投标函</w:t>
      </w:r>
    </w:p>
    <w:p>
      <w:pPr>
        <w:ind w:left="107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10.1.5 公司简介： </w:t>
      </w:r>
    </w:p>
    <w:p>
      <w:pPr>
        <w:numPr>
          <w:ilvl w:val="0"/>
          <w:numId w:val="3"/>
        </w:numPr>
        <w:tabs>
          <w:tab w:val="left" w:pos="945"/>
        </w:tabs>
        <w:ind w:firstLine="560"/>
        <w:rPr>
          <w:rFonts w:hint="default" w:ascii="Times New Roman" w:hAnsi="Times New Roman" w:cs="Times New Roman"/>
          <w:sz w:val="28"/>
          <w:szCs w:val="28"/>
        </w:rPr>
      </w:pPr>
      <w:r>
        <w:rPr>
          <w:rFonts w:hint="default" w:ascii="Times New Roman" w:hAnsi="Times New Roman" w:cs="Times New Roman"/>
          <w:sz w:val="28"/>
          <w:szCs w:val="28"/>
        </w:rPr>
        <w:t>公司组织构架；</w:t>
      </w:r>
    </w:p>
    <w:p>
      <w:pPr>
        <w:numPr>
          <w:ilvl w:val="0"/>
          <w:numId w:val="3"/>
        </w:numPr>
        <w:tabs>
          <w:tab w:val="left" w:pos="945"/>
        </w:tabs>
        <w:ind w:firstLine="560"/>
        <w:rPr>
          <w:rFonts w:hint="default" w:ascii="Times New Roman" w:hAnsi="Times New Roman" w:cs="Times New Roman"/>
          <w:sz w:val="28"/>
          <w:szCs w:val="28"/>
        </w:rPr>
      </w:pPr>
      <w:r>
        <w:rPr>
          <w:rFonts w:hint="default" w:ascii="Times New Roman" w:hAnsi="Times New Roman" w:cs="Times New Roman"/>
          <w:sz w:val="28"/>
          <w:szCs w:val="28"/>
        </w:rPr>
        <w:t>公司法人营业执照及相关资质证书复印件；</w:t>
      </w:r>
    </w:p>
    <w:p>
      <w:pPr>
        <w:ind w:left="1070" w:firstLine="0" w:firstLineChars="0"/>
        <w:rPr>
          <w:rFonts w:hint="default" w:ascii="Times New Roman" w:hAnsi="Times New Roman" w:cs="Times New Roman"/>
          <w:sz w:val="28"/>
          <w:szCs w:val="28"/>
        </w:rPr>
      </w:pPr>
      <w:r>
        <w:rPr>
          <w:rFonts w:hint="default" w:ascii="Times New Roman" w:hAnsi="Times New Roman" w:cs="Times New Roman"/>
          <w:sz w:val="28"/>
          <w:szCs w:val="28"/>
        </w:rPr>
        <w:t>10.1.6 主要人员（项目负责人和各专业负责人）明细表</w:t>
      </w:r>
    </w:p>
    <w:p>
      <w:pPr>
        <w:ind w:left="1070" w:firstLine="0" w:firstLineChars="0"/>
        <w:rPr>
          <w:rFonts w:hint="default" w:ascii="Times New Roman" w:hAnsi="Times New Roman" w:cs="Times New Roman"/>
          <w:sz w:val="28"/>
          <w:szCs w:val="28"/>
        </w:rPr>
      </w:pPr>
      <w:r>
        <w:rPr>
          <w:rFonts w:hint="default" w:ascii="Times New Roman" w:hAnsi="Times New Roman" w:cs="Times New Roman"/>
          <w:sz w:val="28"/>
          <w:szCs w:val="28"/>
        </w:rPr>
        <w:t>10.1.7 资格审查资料</w:t>
      </w:r>
    </w:p>
    <w:p>
      <w:pPr>
        <w:ind w:left="1070" w:firstLine="0" w:firstLineChars="0"/>
        <w:rPr>
          <w:rFonts w:hint="default" w:ascii="Times New Roman" w:hAnsi="Times New Roman" w:cs="Times New Roman"/>
          <w:sz w:val="28"/>
          <w:szCs w:val="28"/>
        </w:rPr>
      </w:pPr>
      <w:r>
        <w:rPr>
          <w:rFonts w:hint="default" w:ascii="Times New Roman" w:hAnsi="Times New Roman" w:cs="Times New Roman"/>
          <w:sz w:val="28"/>
          <w:szCs w:val="28"/>
        </w:rPr>
        <w:t>10.1.8 参选人认为其他应该提交的资料</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备注：以上证明材料必要时需提交原件核对。</w:t>
      </w:r>
    </w:p>
    <w:p>
      <w:pPr>
        <w:pStyle w:val="4"/>
        <w:numPr>
          <w:ilvl w:val="0"/>
          <w:numId w:val="1"/>
        </w:numPr>
        <w:spacing w:before="120" w:beforeLines="50" w:after="0"/>
        <w:ind w:left="1282" w:leftChars="0" w:hanging="720" w:firstLineChars="0"/>
        <w:rPr>
          <w:rFonts w:hint="eastAsia" w:ascii="楷体" w:hAnsi="楷体" w:eastAsia="楷体" w:cs="楷体"/>
          <w:b w:val="0"/>
          <w:bCs w:val="0"/>
          <w:sz w:val="28"/>
          <w:szCs w:val="28"/>
        </w:rPr>
      </w:pPr>
      <w:r>
        <w:rPr>
          <w:rFonts w:hint="eastAsia" w:ascii="楷体" w:hAnsi="楷体" w:eastAsia="楷体" w:cs="楷体"/>
          <w:b w:val="0"/>
          <w:bCs w:val="0"/>
          <w:sz w:val="28"/>
          <w:szCs w:val="28"/>
        </w:rPr>
        <w:t>方案成果</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所有参选人的参选文件、方案成果等全部技术资料的著作权、智力成果等所有权及使用权将无偿归属于相关负责人，且参选人不得索回。相关负责人采用参选文件、方案成果等全部技术资料中的内容，不需要征得书面同意，不需要支付任何使用费。</w:t>
      </w:r>
    </w:p>
    <w:p>
      <w:pPr>
        <w:pStyle w:val="4"/>
        <w:numPr>
          <w:ilvl w:val="0"/>
          <w:numId w:val="1"/>
        </w:numPr>
        <w:spacing w:before="120" w:beforeLines="50" w:after="0"/>
        <w:ind w:left="1282" w:leftChars="0" w:hanging="720" w:firstLineChars="0"/>
        <w:rPr>
          <w:rFonts w:hint="default" w:ascii="楷体" w:hAnsi="楷体" w:eastAsia="楷体" w:cs="楷体"/>
          <w:b w:val="0"/>
          <w:bCs w:val="0"/>
          <w:sz w:val="28"/>
          <w:szCs w:val="28"/>
        </w:rPr>
      </w:pPr>
      <w:r>
        <w:rPr>
          <w:rFonts w:hint="default" w:ascii="楷体" w:hAnsi="楷体" w:eastAsia="楷体" w:cs="楷体"/>
          <w:b w:val="0"/>
          <w:bCs w:val="0"/>
          <w:sz w:val="28"/>
          <w:szCs w:val="28"/>
        </w:rPr>
        <w:t>参选文件格式</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详见参选文件格式。</w:t>
      </w:r>
    </w:p>
    <w:p>
      <w:pPr>
        <w:pStyle w:val="4"/>
        <w:numPr>
          <w:ilvl w:val="0"/>
          <w:numId w:val="1"/>
        </w:numPr>
        <w:spacing w:before="120" w:beforeLines="50" w:after="0"/>
        <w:ind w:left="1282" w:leftChars="0" w:hanging="720" w:firstLineChars="0"/>
        <w:rPr>
          <w:rFonts w:hint="default" w:ascii="楷体" w:hAnsi="楷体" w:eastAsia="楷体" w:cs="楷体"/>
          <w:b w:val="0"/>
          <w:bCs w:val="0"/>
          <w:sz w:val="28"/>
          <w:szCs w:val="28"/>
        </w:rPr>
      </w:pPr>
      <w:r>
        <w:rPr>
          <w:rFonts w:hint="default" w:ascii="楷体" w:hAnsi="楷体" w:eastAsia="楷体" w:cs="楷体"/>
          <w:b w:val="0"/>
          <w:bCs w:val="0"/>
          <w:sz w:val="28"/>
          <w:szCs w:val="28"/>
        </w:rPr>
        <w:t>投标报价</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13.1参选人的投标报价，应是完成本须知第2.3款和任务书所列参选项目服务内容为计算投标报价基础。</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13.2投标报价方式：见投标前附表，按中标价包死，不再调整。总报价含参选范围内的所有内容。</w:t>
      </w:r>
    </w:p>
    <w:p>
      <w:pPr>
        <w:pStyle w:val="4"/>
        <w:numPr>
          <w:ilvl w:val="0"/>
          <w:numId w:val="1"/>
        </w:numPr>
        <w:spacing w:before="120" w:beforeLines="50" w:after="0"/>
        <w:ind w:left="1282" w:leftChars="0" w:hanging="720" w:firstLineChars="0"/>
        <w:rPr>
          <w:rFonts w:hint="default" w:ascii="楷体" w:hAnsi="楷体" w:eastAsia="楷体" w:cs="楷体"/>
          <w:b w:val="0"/>
          <w:bCs w:val="0"/>
          <w:sz w:val="28"/>
          <w:szCs w:val="28"/>
        </w:rPr>
      </w:pPr>
      <w:r>
        <w:rPr>
          <w:rFonts w:hint="default" w:ascii="楷体" w:hAnsi="楷体" w:eastAsia="楷体" w:cs="楷体"/>
          <w:b w:val="0"/>
          <w:bCs w:val="0"/>
          <w:sz w:val="28"/>
          <w:szCs w:val="28"/>
        </w:rPr>
        <w:t>投标货币</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本项目报价采用的币种为</w:t>
      </w:r>
      <w:r>
        <w:rPr>
          <w:rFonts w:hint="default" w:ascii="Times New Roman" w:hAnsi="Times New Roman" w:cs="Times New Roman"/>
          <w:b/>
          <w:sz w:val="28"/>
          <w:szCs w:val="28"/>
        </w:rPr>
        <w:t>人民币</w:t>
      </w:r>
      <w:r>
        <w:rPr>
          <w:rFonts w:hint="default" w:ascii="Times New Roman" w:hAnsi="Times New Roman" w:cs="Times New Roman"/>
          <w:sz w:val="28"/>
          <w:szCs w:val="28"/>
        </w:rPr>
        <w:t>。</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15．</w:t>
      </w:r>
      <w:r>
        <w:rPr>
          <w:rFonts w:hint="eastAsia" w:ascii="楷体" w:hAnsi="楷体" w:eastAsia="楷体" w:cs="楷体"/>
          <w:b w:val="0"/>
          <w:bCs w:val="0"/>
          <w:sz w:val="28"/>
          <w:szCs w:val="28"/>
        </w:rPr>
        <w:t>投标有效期</w:t>
      </w:r>
    </w:p>
    <w:p>
      <w:pPr>
        <w:pStyle w:val="4"/>
        <w:spacing w:after="0"/>
        <w:ind w:left="-1" w:firstLine="560"/>
        <w:rPr>
          <w:rFonts w:hint="default" w:ascii="Times New Roman" w:hAnsi="Times New Roman" w:cs="Times New Roman"/>
          <w:sz w:val="28"/>
          <w:szCs w:val="28"/>
        </w:rPr>
      </w:pPr>
      <w:r>
        <w:rPr>
          <w:rFonts w:hint="default" w:ascii="Times New Roman" w:hAnsi="Times New Roman" w:cs="Times New Roman"/>
          <w:sz w:val="28"/>
          <w:szCs w:val="28"/>
        </w:rPr>
        <w:t>投标有效期见参选须知前附表所规定的期限，在此期限内，凡符合本参选文件要求的参选文件均保持有效。</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16．</w:t>
      </w:r>
      <w:r>
        <w:rPr>
          <w:rFonts w:hint="default" w:ascii="楷体" w:hAnsi="楷体" w:eastAsia="楷体" w:cs="楷体"/>
          <w:b w:val="0"/>
          <w:bCs w:val="0"/>
          <w:sz w:val="28"/>
          <w:szCs w:val="28"/>
        </w:rPr>
        <w:t>参选文件的份数和签署</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16.1 参选人应按参选须知前附表规定的份数提交参选文件。</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16.2 参选文件、方案成果的正本和副本均需打印或使用不褪色的蓝、黑墨水笔书写，副本可以是正本的复印件，字迹应清晰易于辩认，并应在参选文件封面的右上角清楚地注明“正本”或“副本”。正本和副本如有不一致之处，以正本为准。</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16.3参选文件、方案成果封面或扉页、投标函、投标报价汇总表均应加盖参选人公章并经法定代表人或其委托代理人签字或加盖印章。由委托代理人签字或盖章的在参选文件中须同时提交参选文件签署授权委托书。参选文件签署授权委托书格式、签字、盖章及内容均应符合参选文件要求，否则参选文件签署授权委托书无效。</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16.4 参选人按照本须知第17条规定对其参选文件相关内容签署盖章后，其参选文件所有内容均视为确认，对参选人起约束作用。</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16.5 除参选人对错误处须修改外，全套参选文件应无涂改或行间插字和增删。如有修改，修改处应由参选人加盖参选人的法人印章或由参选文件签字人签字或盖章。</w:t>
      </w:r>
    </w:p>
    <w:p>
      <w:pPr>
        <w:pStyle w:val="4"/>
        <w:spacing w:before="120" w:beforeLines="50" w:after="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17．</w:t>
      </w:r>
      <w:r>
        <w:rPr>
          <w:rFonts w:hint="default" w:ascii="楷体" w:hAnsi="楷体" w:eastAsia="楷体" w:cs="楷体"/>
          <w:b w:val="0"/>
          <w:bCs w:val="0"/>
          <w:sz w:val="28"/>
          <w:szCs w:val="28"/>
        </w:rPr>
        <w:t>参选文件的装订、密封和标记</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17.1参选文件的装订、密封和标记</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17.1.1参选人应将参选文件、方案文件分别密封装订，并标明“参选文件”、 “方案文件”，密封、标记见前附表要求。</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17.1.2参选文件、方案文件的正本和所有副本应分别密封，并在密封袋上清楚地标明“正本”或“副本”，密封袋封口处应密封，并应加盖参选人法人章；</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17.1.3参选文件和方案文件在参选文件密封袋上均应写明：</w:t>
      </w:r>
    </w:p>
    <w:p>
      <w:pPr>
        <w:pStyle w:val="4"/>
        <w:spacing w:after="0"/>
        <w:ind w:firstLine="56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（1）相关负责人名称；安徽省盐业投资控股集团有限公司</w:t>
      </w:r>
    </w:p>
    <w:p>
      <w:pPr>
        <w:spacing w:line="600" w:lineRule="exact"/>
        <w:ind w:firstLine="560"/>
        <w:rPr>
          <w:rFonts w:hint="default" w:ascii="Times New Roman" w:hAnsi="Times New Roman" w:eastAsia="仿宋_GB2312" w:cs="Times New Roman"/>
          <w:sz w:val="32"/>
          <w:szCs w:val="32"/>
          <w:highlight w:val="none"/>
        </w:rPr>
      </w:pPr>
      <w:r>
        <w:rPr>
          <w:rFonts w:hint="default" w:ascii="Times New Roman" w:hAnsi="Times New Roman" w:cs="Times New Roman"/>
          <w:sz w:val="28"/>
          <w:szCs w:val="28"/>
          <w:highlight w:val="none"/>
        </w:rPr>
        <w:t>（2）项目名称；</w:t>
      </w:r>
      <w:r>
        <w:rPr>
          <w:rFonts w:hint="eastAsia" w:ascii="Times New Roman" w:hAnsi="Times New Roman" w:cs="Times New Roman"/>
          <w:b w:val="0"/>
          <w:bCs w:val="0"/>
          <w:kern w:val="2"/>
          <w:sz w:val="28"/>
          <w:szCs w:val="28"/>
          <w:highlight w:val="none"/>
          <w:lang w:val="en-US" w:eastAsia="zh-CN" w:bidi="ar-SA"/>
        </w:rPr>
        <w:t>安徽省环保集团有限公司（暂定）</w:t>
      </w:r>
      <w:r>
        <w:rPr>
          <w:rFonts w:hint="default" w:ascii="Times New Roman" w:hAnsi="Times New Roman" w:cs="Times New Roman" w:eastAsiaTheme="minorEastAsia"/>
          <w:b w:val="0"/>
          <w:bCs w:val="0"/>
          <w:kern w:val="2"/>
          <w:sz w:val="28"/>
          <w:szCs w:val="28"/>
          <w:highlight w:val="none"/>
          <w:lang w:val="en-US" w:eastAsia="zh-CN" w:bidi="ar-SA"/>
        </w:rPr>
        <w:t>发展战略规划咨询项目</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）参选人名称和地址。</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17.1.4电子版参选文件按参选人须知前附表规定密封。</w:t>
      </w:r>
    </w:p>
    <w:p>
      <w:pPr>
        <w:pStyle w:val="4"/>
        <w:spacing w:after="0"/>
        <w:ind w:firstLine="560"/>
        <w:rPr>
          <w:rFonts w:hint="default" w:ascii="Times New Roman" w:hAnsi="Times New Roman" w:cs="Times New Roman"/>
          <w:sz w:val="28"/>
          <w:szCs w:val="28"/>
        </w:rPr>
      </w:pPr>
      <w:r>
        <w:rPr>
          <w:rFonts w:hint="default" w:ascii="Times New Roman" w:hAnsi="Times New Roman" w:cs="Times New Roman"/>
          <w:sz w:val="28"/>
          <w:szCs w:val="28"/>
        </w:rPr>
        <w:t>17.2 如果参选人未按上述要求密封及加写标记，相关负责人对参选文件的误投和提前启封概不负责。对由此造成提前开封的参选文件将予以拒绝，并退还给参选人。</w:t>
      </w:r>
    </w:p>
    <w:p>
      <w:pPr>
        <w:pStyle w:val="4"/>
        <w:spacing w:after="0"/>
        <w:ind w:firstLine="560"/>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四、</w:t>
      </w:r>
      <w:r>
        <w:rPr>
          <w:rFonts w:hint="default" w:ascii="Times New Roman" w:hAnsi="Times New Roman" w:eastAsia="黑体" w:cs="Times New Roman"/>
          <w:sz w:val="28"/>
          <w:szCs w:val="28"/>
        </w:rPr>
        <w:t>参选文件的提交</w:t>
      </w:r>
    </w:p>
    <w:p>
      <w:pPr>
        <w:pStyle w:val="4"/>
        <w:spacing w:after="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18．</w:t>
      </w:r>
      <w:r>
        <w:rPr>
          <w:rFonts w:hint="eastAsia" w:ascii="楷体" w:hAnsi="楷体" w:eastAsia="楷体" w:cs="楷体"/>
          <w:b w:val="0"/>
          <w:bCs w:val="0"/>
          <w:sz w:val="28"/>
          <w:szCs w:val="28"/>
        </w:rPr>
        <w:t>参选文件的提交</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18.1 参选人应按参选须知前附表所规定的地点，于截止时间前提交参选文件，并办理好送达签认手续。</w:t>
      </w:r>
    </w:p>
    <w:p>
      <w:pPr>
        <w:spacing w:before="120" w:beforeLines="50"/>
        <w:ind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19．</w:t>
      </w:r>
      <w:r>
        <w:rPr>
          <w:rFonts w:hint="eastAsia" w:ascii="楷体" w:hAnsi="楷体" w:eastAsia="楷体" w:cs="楷体"/>
          <w:b w:val="0"/>
          <w:bCs w:val="0"/>
          <w:sz w:val="28"/>
          <w:szCs w:val="28"/>
        </w:rPr>
        <w:t>参选文件提交的截止时间</w:t>
      </w:r>
    </w:p>
    <w:p>
      <w:pPr>
        <w:ind w:left="-1" w:firstLine="560"/>
        <w:rPr>
          <w:rFonts w:hint="default" w:ascii="Times New Roman" w:hAnsi="Times New Roman" w:cs="Times New Roman"/>
          <w:b/>
          <w:bCs/>
          <w:sz w:val="28"/>
          <w:szCs w:val="28"/>
        </w:rPr>
      </w:pPr>
      <w:r>
        <w:rPr>
          <w:rFonts w:hint="default" w:ascii="Times New Roman" w:hAnsi="Times New Roman" w:cs="Times New Roman"/>
          <w:sz w:val="28"/>
          <w:szCs w:val="28"/>
        </w:rPr>
        <w:t>19.1参选人应按前附表所述的地点、日期和时间将参选文件提交给相关负责人。</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19.2相关负责人可按本须知第8条规定以修改补充通知的方式，酌情延长提交参选文件的截止时间。在此情况下，参选人的所有权利和义务以及参选人受制约的截止时间，均以延长后新的投标截止时间为准。</w:t>
      </w:r>
    </w:p>
    <w:p>
      <w:pPr>
        <w:spacing w:before="120" w:beforeLines="50"/>
        <w:ind w:firstLine="562"/>
        <w:rPr>
          <w:rFonts w:hint="default" w:ascii="Times New Roman" w:hAnsi="Times New Roman" w:cs="Times New Roman"/>
          <w:b/>
          <w:bCs/>
          <w:sz w:val="28"/>
          <w:szCs w:val="28"/>
        </w:rPr>
      </w:pPr>
      <w:r>
        <w:rPr>
          <w:rFonts w:hint="default" w:ascii="Times New Roman" w:hAnsi="Times New Roman" w:eastAsia="楷体" w:cs="Times New Roman"/>
          <w:b w:val="0"/>
          <w:bCs w:val="0"/>
          <w:sz w:val="28"/>
          <w:szCs w:val="28"/>
        </w:rPr>
        <w:t>20．</w:t>
      </w:r>
      <w:r>
        <w:rPr>
          <w:rFonts w:hint="default" w:ascii="楷体" w:hAnsi="楷体" w:eastAsia="楷体" w:cs="楷体"/>
          <w:b w:val="0"/>
          <w:bCs w:val="0"/>
          <w:sz w:val="28"/>
          <w:szCs w:val="28"/>
        </w:rPr>
        <w:t>参选文件的补充、修改与撤回</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20.1 参选人在提交参选文件以后，在规定的投标截止时间之前，可以以书面形式补充修改或撤回已提交的参选文件，并以书面形式通知相关负责人。补充、修改的内容为参选文件的组成部分。</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20.2 参选人对参选文件的补充、修改，应按本须知第18条有关规定密封、标记和提交，并在参选文件密封袋上清楚标明“补充、修改”或“撤回”字样。</w:t>
      </w:r>
    </w:p>
    <w:p>
      <w:pPr>
        <w:ind w:left="-1" w:firstLine="562"/>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lang w:val="en-US" w:eastAsia="zh-CN"/>
        </w:rPr>
        <w:t>五、</w:t>
      </w:r>
      <w:r>
        <w:rPr>
          <w:rFonts w:hint="default" w:ascii="Times New Roman" w:hAnsi="Times New Roman" w:eastAsia="黑体" w:cs="Times New Roman"/>
          <w:b w:val="0"/>
          <w:bCs w:val="0"/>
          <w:sz w:val="28"/>
          <w:szCs w:val="28"/>
        </w:rPr>
        <w:t>合同的授予</w:t>
      </w:r>
    </w:p>
    <w:p>
      <w:pPr>
        <w:ind w:left="-1" w:firstLine="562"/>
        <w:rPr>
          <w:rFonts w:hint="eastAsia" w:ascii="楷体" w:hAnsi="楷体" w:eastAsia="楷体" w:cs="楷体"/>
          <w:b w:val="0"/>
          <w:bCs w:val="0"/>
          <w:sz w:val="28"/>
          <w:szCs w:val="28"/>
        </w:rPr>
      </w:pPr>
      <w:r>
        <w:rPr>
          <w:rFonts w:hint="default" w:ascii="Times New Roman" w:hAnsi="Times New Roman" w:cs="Times New Roman"/>
          <w:b w:val="0"/>
          <w:bCs w:val="0"/>
          <w:sz w:val="28"/>
          <w:szCs w:val="28"/>
        </w:rPr>
        <w:t>21．</w:t>
      </w:r>
      <w:r>
        <w:rPr>
          <w:rFonts w:hint="eastAsia" w:ascii="楷体" w:hAnsi="楷体" w:eastAsia="楷体" w:cs="楷体"/>
          <w:b w:val="0"/>
          <w:bCs w:val="0"/>
          <w:sz w:val="28"/>
          <w:szCs w:val="28"/>
        </w:rPr>
        <w:t>合同协议书的签订</w:t>
      </w:r>
    </w:p>
    <w:p>
      <w:pPr>
        <w:ind w:left="-1" w:firstLine="560"/>
        <w:rPr>
          <w:rFonts w:hint="default" w:ascii="Times New Roman" w:hAnsi="Times New Roman" w:cs="Times New Roman"/>
          <w:sz w:val="28"/>
          <w:szCs w:val="28"/>
        </w:rPr>
      </w:pPr>
      <w:r>
        <w:rPr>
          <w:rFonts w:hint="default" w:ascii="Times New Roman" w:hAnsi="Times New Roman" w:cs="Times New Roman"/>
          <w:sz w:val="28"/>
          <w:szCs w:val="28"/>
        </w:rPr>
        <w:t>21.1 相关负责人与中标人将于中标通知书发出之日起7日内，按照竞争性谈判文件和中标人的参选文件商定合同和签订合同，相关负责人和中标人不得再行订立背离合同实质性内容的其他协议。</w:t>
      </w:r>
    </w:p>
    <w:p>
      <w:pPr>
        <w:ind w:left="-1" w:firstLine="562"/>
        <w:rPr>
          <w:rFonts w:hint="default" w:ascii="Times New Roman" w:hAnsi="Times New Roman" w:cs="Times New Roman"/>
          <w:b/>
          <w:bCs/>
          <w:sz w:val="28"/>
          <w:szCs w:val="28"/>
        </w:rPr>
      </w:pPr>
      <w:r>
        <w:rPr>
          <w:rFonts w:hint="default" w:ascii="Times New Roman" w:hAnsi="Times New Roman" w:cs="Times New Roman"/>
          <w:b w:val="0"/>
          <w:bCs w:val="0"/>
          <w:sz w:val="28"/>
          <w:szCs w:val="28"/>
        </w:rPr>
        <w:t>22．</w:t>
      </w:r>
      <w:r>
        <w:rPr>
          <w:rFonts w:hint="default" w:ascii="楷体" w:hAnsi="楷体" w:eastAsia="楷体" w:cs="楷体"/>
          <w:b w:val="0"/>
          <w:bCs w:val="0"/>
          <w:sz w:val="28"/>
          <w:szCs w:val="28"/>
        </w:rPr>
        <w:t>合同生效</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22.1在合同双方全权代表在合同协议书上签字，并分别加盖双方单位的公章，合同正式生效。</w:t>
      </w:r>
    </w:p>
    <w:p>
      <w:pPr>
        <w:ind w:firstLine="562"/>
        <w:jc w:val="left"/>
        <w:rPr>
          <w:rFonts w:hint="default" w:ascii="Times New Roman" w:hAnsi="Times New Roman" w:cs="Times New Roman"/>
          <w:b/>
          <w:bCs/>
          <w:sz w:val="28"/>
          <w:szCs w:val="28"/>
        </w:rPr>
      </w:pPr>
      <w:r>
        <w:rPr>
          <w:rFonts w:hint="default" w:ascii="Times New Roman" w:hAnsi="Times New Roman" w:cs="Times New Roman"/>
          <w:b w:val="0"/>
          <w:bCs w:val="0"/>
          <w:sz w:val="28"/>
          <w:szCs w:val="28"/>
        </w:rPr>
        <w:t>23．</w:t>
      </w:r>
      <w:r>
        <w:rPr>
          <w:rFonts w:hint="eastAsia" w:ascii="楷体" w:hAnsi="楷体" w:eastAsia="楷体" w:cs="楷体"/>
          <w:b w:val="0"/>
          <w:bCs w:val="0"/>
          <w:sz w:val="28"/>
          <w:szCs w:val="28"/>
        </w:rPr>
        <w:t>知识产权</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23.1按竞争性谈判文件规定获得补偿的参选文件，评选后不予退回。相关负责人有权在评选束后公开展示获得补偿费用的所有投标方案成果，并通过传播媒介、杂志、书刊或其它形式介绍、展示及评价该方案成果，所有展示、推介、广告均不再向参选人支付费用。</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23.2中标方案著作权、版权、专利权和使用权归相关负责人所有（署名权除外）。</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23.3如果相关负责人、中标人使用未中标方案作为本项目实施方案，相关负责人按参选文件规定向提交方案的参选人付给使用费后，该方案的著作权、版权、专利权和使用权归相关负责人所有（署名权除外），相关负责人、中标人可以在本工程使用该方案。</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23.4相关负责人有权在实施方案中参考使用获得补偿费用的所有投标方案成果的部分内容。相关负责人有权在工程建设中根据需要对选定的实施方案进行任意的调整和修改。</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23.5参选人保证参选文件及资料均未侵犯他人的知识产权，否则必须承担全部责任。</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23.6若参选人使用了他人的专利、专有技术，涉及的费用由参选人负责。</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23.7中标人未经相关负责人许可，不得将中标方案成果用于其他任何项目的投标和设计，不得在国内外刊物、学术或技术交流会上发表该方案成果。</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23.8相关负责人有权无须事先征求中标人的同意而披露关于中标人的名称、地址、合同条款。</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23.9其余投标费用自理，相关负责人不再给予参选人经济补偿。</w:t>
      </w:r>
    </w:p>
    <w:p>
      <w:pPr>
        <w:ind w:firstLine="560"/>
        <w:rPr>
          <w:rFonts w:hint="default" w:ascii="Times New Roman" w:hAnsi="Times New Roman" w:cs="Times New Roman"/>
          <w:sz w:val="28"/>
          <w:szCs w:val="28"/>
        </w:rPr>
        <w:sectPr>
          <w:pgSz w:w="11906" w:h="16838"/>
          <w:pgMar w:top="2098" w:right="1474" w:bottom="1701" w:left="1587" w:header="851" w:footer="992" w:gutter="0"/>
          <w:cols w:space="425" w:num="1"/>
          <w:docGrid w:type="lines" w:linePitch="312" w:charSpace="0"/>
        </w:sectPr>
      </w:pPr>
      <w:r>
        <w:rPr>
          <w:rFonts w:hint="default" w:ascii="Times New Roman" w:hAnsi="Times New Roman" w:cs="Times New Roman"/>
          <w:sz w:val="28"/>
          <w:szCs w:val="28"/>
        </w:rPr>
        <w:t>23.10经评选委员会全体成员认定投标方案未达到竞争性谈判文件规定的编制深度要求的，或者串通投标的，不给予参选人经济补偿。</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6"/>
    <w:multiLevelType w:val="multilevel"/>
    <w:tmpl w:val="00000026"/>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B2018DC"/>
    <w:multiLevelType w:val="multilevel"/>
    <w:tmpl w:val="2B2018DC"/>
    <w:lvl w:ilvl="0" w:tentative="0">
      <w:start w:val="10"/>
      <w:numFmt w:val="decimal"/>
      <w:lvlText w:val="%1．"/>
      <w:lvlJc w:val="left"/>
      <w:pPr>
        <w:ind w:left="1282" w:hanging="720"/>
      </w:pPr>
      <w:rPr>
        <w:rFonts w:hint="default" w:ascii="Times New Roman" w:hAnsi="Times New Roman" w:cs="Times New Roman"/>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584F0AC4"/>
    <w:multiLevelType w:val="multilevel"/>
    <w:tmpl w:val="584F0AC4"/>
    <w:lvl w:ilvl="0" w:tentative="0">
      <w:start w:val="10"/>
      <w:numFmt w:val="decimal"/>
      <w:lvlText w:val="%1"/>
      <w:lvlJc w:val="left"/>
      <w:pPr>
        <w:ind w:left="615" w:hanging="615"/>
      </w:pPr>
      <w:rPr>
        <w:rFonts w:hint="default"/>
      </w:rPr>
    </w:lvl>
    <w:lvl w:ilvl="1" w:tentative="0">
      <w:start w:val="1"/>
      <w:numFmt w:val="decimal"/>
      <w:lvlText w:val="%1.%2"/>
      <w:lvlJc w:val="left"/>
      <w:pPr>
        <w:ind w:left="1622" w:hanging="720"/>
      </w:pPr>
      <w:rPr>
        <w:rFonts w:hint="default"/>
      </w:rPr>
    </w:lvl>
    <w:lvl w:ilvl="2" w:tentative="0">
      <w:start w:val="1"/>
      <w:numFmt w:val="decimal"/>
      <w:lvlText w:val="%1.%2.%3"/>
      <w:lvlJc w:val="left"/>
      <w:pPr>
        <w:ind w:left="2524" w:hanging="720"/>
      </w:pPr>
      <w:rPr>
        <w:rFonts w:hint="default"/>
      </w:rPr>
    </w:lvl>
    <w:lvl w:ilvl="3" w:tentative="0">
      <w:start w:val="1"/>
      <w:numFmt w:val="decimal"/>
      <w:lvlText w:val="%1.%2.%3.%4"/>
      <w:lvlJc w:val="left"/>
      <w:pPr>
        <w:ind w:left="3786" w:hanging="1080"/>
      </w:pPr>
      <w:rPr>
        <w:rFonts w:hint="default"/>
      </w:rPr>
    </w:lvl>
    <w:lvl w:ilvl="4" w:tentative="0">
      <w:start w:val="1"/>
      <w:numFmt w:val="decimal"/>
      <w:lvlText w:val="%1.%2.%3.%4.%5"/>
      <w:lvlJc w:val="left"/>
      <w:pPr>
        <w:ind w:left="5048" w:hanging="1440"/>
      </w:pPr>
      <w:rPr>
        <w:rFonts w:hint="default"/>
      </w:rPr>
    </w:lvl>
    <w:lvl w:ilvl="5" w:tentative="0">
      <w:start w:val="1"/>
      <w:numFmt w:val="decimal"/>
      <w:lvlText w:val="%1.%2.%3.%4.%5.%6"/>
      <w:lvlJc w:val="left"/>
      <w:pPr>
        <w:ind w:left="6310" w:hanging="1800"/>
      </w:pPr>
      <w:rPr>
        <w:rFonts w:hint="default"/>
      </w:rPr>
    </w:lvl>
    <w:lvl w:ilvl="6" w:tentative="0">
      <w:start w:val="1"/>
      <w:numFmt w:val="decimal"/>
      <w:lvlText w:val="%1.%2.%3.%4.%5.%6.%7"/>
      <w:lvlJc w:val="left"/>
      <w:pPr>
        <w:ind w:left="7572" w:hanging="2160"/>
      </w:pPr>
      <w:rPr>
        <w:rFonts w:hint="default"/>
      </w:rPr>
    </w:lvl>
    <w:lvl w:ilvl="7" w:tentative="0">
      <w:start w:val="1"/>
      <w:numFmt w:val="decimal"/>
      <w:lvlText w:val="%1.%2.%3.%4.%5.%6.%7.%8"/>
      <w:lvlJc w:val="left"/>
      <w:pPr>
        <w:ind w:left="8474" w:hanging="2160"/>
      </w:pPr>
      <w:rPr>
        <w:rFonts w:hint="default"/>
      </w:rPr>
    </w:lvl>
    <w:lvl w:ilvl="8" w:tentative="0">
      <w:start w:val="1"/>
      <w:numFmt w:val="decimal"/>
      <w:lvlText w:val="%1.%2.%3.%4.%5.%6.%7.%8.%9"/>
      <w:lvlJc w:val="left"/>
      <w:pPr>
        <w:ind w:left="9736"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D6146"/>
    <w:rsid w:val="3A5D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pBdr>
        <w:top w:val="single" w:color="auto" w:sz="4" w:space="1"/>
      </w:pBdr>
    </w:pPr>
    <w:rPr>
      <w:b/>
      <w:bCs/>
    </w:rPr>
  </w:style>
  <w:style w:type="paragraph" w:styleId="4">
    <w:name w:val="Body Text First Indent"/>
    <w:basedOn w:val="3"/>
    <w:qFormat/>
    <w:uiPriority w:val="0"/>
    <w:pPr>
      <w:pBdr>
        <w:top w:val="none" w:color="auto" w:sz="0" w:space="0"/>
      </w:pBdr>
      <w:spacing w:after="120" w:afterLines="0"/>
      <w:ind w:firstLine="420"/>
    </w:pPr>
    <w:rPr>
      <w:b w:val="0"/>
      <w:bCs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2021-09-02T07:10:00Z</dcterms:created>
  <dc:creator>黄强</dc:creator>
  <cp:lastModifiedBy>黄强</cp:lastModifiedBy>
  <dcterms:modified xsi:type="dcterms:W3CDTF">2021-09-02T07:11:04Z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0180EDE85D2D44D092AE87AD46F999E8</vt:lpwstr>
  </property>
</Properties>
</file>