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7F5" w:rsidRDefault="00467797">
      <w:pPr>
        <w:widowControl/>
        <w:shd w:val="clear" w:color="auto" w:fill="FFFFFF"/>
        <w:jc w:val="left"/>
        <w:rPr>
          <w:rFonts w:ascii="仿宋" w:eastAsia="仿宋" w:hAnsi="仿宋" w:cs="仿宋"/>
          <w:b/>
          <w:bCs/>
          <w:kern w:val="0"/>
          <w:sz w:val="32"/>
          <w:szCs w:val="32"/>
        </w:rPr>
      </w:pPr>
      <w:bookmarkStart w:id="0" w:name="_GoBack"/>
      <w:bookmarkEnd w:id="0"/>
      <w:r>
        <w:rPr>
          <w:rFonts w:ascii="仿宋" w:eastAsia="仿宋" w:hAnsi="仿宋" w:cs="仿宋" w:hint="eastAsia"/>
          <w:b/>
          <w:bCs/>
          <w:kern w:val="0"/>
          <w:sz w:val="32"/>
          <w:szCs w:val="32"/>
        </w:rPr>
        <w:t>附件1：</w:t>
      </w:r>
    </w:p>
    <w:p w:rsidR="006847F5" w:rsidRDefault="00467797">
      <w:pPr>
        <w:widowControl/>
        <w:shd w:val="clear" w:color="auto" w:fill="FFFFFF"/>
        <w:spacing w:line="60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中选单位确定办法</w:t>
      </w:r>
    </w:p>
    <w:p w:rsidR="006847F5" w:rsidRDefault="006847F5">
      <w:pPr>
        <w:pStyle w:val="Default"/>
        <w:spacing w:line="600" w:lineRule="exact"/>
      </w:pPr>
    </w:p>
    <w:p w:rsidR="006847F5" w:rsidRDefault="00467797">
      <w:pPr>
        <w:pStyle w:val="2"/>
        <w:spacing w:line="600" w:lineRule="exact"/>
        <w:ind w:leftChars="0" w:left="0" w:firstLine="640"/>
        <w:rPr>
          <w:rFonts w:ascii="仿宋" w:eastAsia="仿宋" w:hAnsi="仿宋" w:cs="仿宋"/>
          <w:color w:val="auto"/>
          <w:kern w:val="0"/>
          <w:sz w:val="32"/>
          <w:szCs w:val="32"/>
        </w:rPr>
      </w:pPr>
      <w:r>
        <w:rPr>
          <w:rFonts w:ascii="仿宋" w:eastAsia="仿宋" w:hAnsi="仿宋" w:cs="仿宋" w:hint="eastAsia"/>
          <w:color w:val="auto"/>
          <w:kern w:val="0"/>
          <w:sz w:val="32"/>
          <w:szCs w:val="32"/>
        </w:rPr>
        <w:t>本次评标采用综合评分法（满分100分）。评标委员会对满足</w:t>
      </w:r>
      <w:r w:rsidR="00E1722A">
        <w:rPr>
          <w:rFonts w:ascii="仿宋" w:eastAsia="仿宋" w:hAnsi="仿宋" w:cs="仿宋" w:hint="eastAsia"/>
          <w:color w:val="auto"/>
          <w:kern w:val="0"/>
          <w:sz w:val="32"/>
          <w:szCs w:val="32"/>
        </w:rPr>
        <w:t>比选</w:t>
      </w:r>
      <w:r>
        <w:rPr>
          <w:rFonts w:ascii="仿宋" w:eastAsia="仿宋" w:hAnsi="仿宋" w:cs="仿宋" w:hint="eastAsia"/>
          <w:color w:val="auto"/>
          <w:kern w:val="0"/>
          <w:sz w:val="32"/>
          <w:szCs w:val="32"/>
        </w:rPr>
        <w:t>文件实质性要求的</w:t>
      </w:r>
      <w:r w:rsidR="00E1722A">
        <w:rPr>
          <w:rFonts w:ascii="仿宋" w:eastAsia="仿宋" w:hAnsi="仿宋" w:cs="仿宋" w:hint="eastAsia"/>
          <w:color w:val="auto"/>
          <w:kern w:val="0"/>
          <w:sz w:val="32"/>
          <w:szCs w:val="32"/>
        </w:rPr>
        <w:t>响应</w:t>
      </w:r>
      <w:r>
        <w:rPr>
          <w:rFonts w:ascii="仿宋" w:eastAsia="仿宋" w:hAnsi="仿宋" w:cs="仿宋" w:hint="eastAsia"/>
          <w:color w:val="auto"/>
          <w:kern w:val="0"/>
          <w:sz w:val="32"/>
          <w:szCs w:val="32"/>
        </w:rPr>
        <w:t xml:space="preserve">文件，按照本节规定的评分标准进行打分，并按汇总得分由高到低的顺序推荐前两名中标候选人。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6"/>
        <w:gridCol w:w="13"/>
        <w:gridCol w:w="655"/>
        <w:gridCol w:w="6548"/>
      </w:tblGrid>
      <w:tr w:rsidR="006847F5">
        <w:trPr>
          <w:trHeight w:val="500"/>
        </w:trPr>
        <w:tc>
          <w:tcPr>
            <w:tcW w:w="659" w:type="pct"/>
            <w:vAlign w:val="center"/>
          </w:tcPr>
          <w:p w:rsidR="006847F5" w:rsidRDefault="00467797">
            <w:pPr>
              <w:topLinePunct/>
              <w:jc w:val="center"/>
              <w:rPr>
                <w:rFonts w:ascii="宋体" w:hAnsi="宋体" w:cs="宋体"/>
                <w:b/>
              </w:rPr>
            </w:pPr>
            <w:r>
              <w:rPr>
                <w:rFonts w:ascii="宋体" w:hAnsi="宋体" w:cs="宋体" w:hint="eastAsia"/>
                <w:b/>
              </w:rPr>
              <w:t>评审项目</w:t>
            </w:r>
          </w:p>
        </w:tc>
        <w:tc>
          <w:tcPr>
            <w:tcW w:w="401" w:type="pct"/>
            <w:gridSpan w:val="2"/>
            <w:vAlign w:val="center"/>
          </w:tcPr>
          <w:p w:rsidR="006847F5" w:rsidRDefault="00467797">
            <w:pPr>
              <w:wordWrap w:val="0"/>
              <w:topLinePunct/>
              <w:jc w:val="center"/>
              <w:rPr>
                <w:rFonts w:ascii="宋体" w:hAnsi="宋体" w:cs="宋体"/>
                <w:b/>
              </w:rPr>
            </w:pPr>
            <w:r>
              <w:rPr>
                <w:rFonts w:ascii="宋体" w:hAnsi="宋体" w:cs="宋体" w:hint="eastAsia"/>
                <w:b/>
              </w:rPr>
              <w:t>分值</w:t>
            </w:r>
          </w:p>
        </w:tc>
        <w:tc>
          <w:tcPr>
            <w:tcW w:w="3939" w:type="pct"/>
            <w:vAlign w:val="center"/>
          </w:tcPr>
          <w:p w:rsidR="006847F5" w:rsidRDefault="00467797">
            <w:pPr>
              <w:wordWrap w:val="0"/>
              <w:topLinePunct/>
              <w:jc w:val="center"/>
              <w:rPr>
                <w:rFonts w:ascii="宋体" w:hAnsi="宋体" w:cs="宋体"/>
                <w:b/>
              </w:rPr>
            </w:pPr>
            <w:r>
              <w:rPr>
                <w:rFonts w:ascii="宋体" w:hAnsi="宋体" w:cs="宋体" w:hint="eastAsia"/>
                <w:b/>
              </w:rPr>
              <w:t>依据</w:t>
            </w:r>
          </w:p>
        </w:tc>
      </w:tr>
      <w:tr w:rsidR="006847F5">
        <w:tc>
          <w:tcPr>
            <w:tcW w:w="659" w:type="pct"/>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市场业绩</w:t>
            </w:r>
          </w:p>
        </w:tc>
        <w:tc>
          <w:tcPr>
            <w:tcW w:w="401" w:type="pct"/>
            <w:gridSpan w:val="2"/>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根据2020-2022年担任评级的信用债发行人单位数进行评分（各年度去重）。单位数最多的得15分，其他按占比计分，得分四舍五入保留至小数点后两位。（供应商自行提供，数据以wind为准）</w:t>
            </w:r>
          </w:p>
        </w:tc>
      </w:tr>
      <w:tr w:rsidR="006847F5">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总体服务方案</w:t>
            </w:r>
          </w:p>
        </w:tc>
        <w:tc>
          <w:tcPr>
            <w:tcW w:w="394"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20分</w:t>
            </w:r>
          </w:p>
        </w:tc>
        <w:tc>
          <w:tcPr>
            <w:tcW w:w="3939"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根据供应商提供的总体服务方案(服务流程、服务标准、服务管理、安全保障措施等方面)进行评审：</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服务方案完整，思路清晰，目标明确，措施到位，针对性强，有明确的服务承诺，贴合采购需求的，得16-20分；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服务方案较完整，思路较清晰，目标较明确，措施较到位，针对性较强，满足采购需求的，得 11-15分；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服务方案基本完整，思路基本清晰，目标基本明确，措施基本到位，针对性一般，基本满足采购需求的，得6-10分；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服务方案简单的，部分满足采购需求的，得1-5分；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没有提供不得分。</w:t>
            </w:r>
          </w:p>
        </w:tc>
      </w:tr>
      <w:tr w:rsidR="006847F5">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center"/>
              <w:rPr>
                <w:rFonts w:ascii="宋体" w:hAnsi="宋体" w:cs="宋体"/>
                <w:bCs/>
              </w:rPr>
            </w:pPr>
            <w:r>
              <w:rPr>
                <w:rFonts w:ascii="宋体" w:hAnsi="宋体" w:cs="宋体" w:hint="eastAsia"/>
                <w:bCs/>
                <w:sz w:val="24"/>
                <w:szCs w:val="24"/>
              </w:rPr>
              <w:t>国家发展改革委办公厅评价</w:t>
            </w:r>
          </w:p>
        </w:tc>
        <w:tc>
          <w:tcPr>
            <w:tcW w:w="394"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根据投标人在国家发展改革委办公厅2021年度企业债券主承销商和信用评级机构信用评价结果（发改办财金〔2022〕703号）的名单排名进行打分，排名最高的得15分，按名次依次递减，每个名次递减3分，最低得0分。</w:t>
            </w:r>
          </w:p>
          <w:p w:rsidR="006847F5" w:rsidRDefault="00467797">
            <w:pPr>
              <w:spacing w:line="360" w:lineRule="auto"/>
              <w:jc w:val="left"/>
              <w:rPr>
                <w:rFonts w:ascii="宋体" w:hAnsi="宋体" w:cs="宋体"/>
                <w:bCs/>
              </w:rPr>
            </w:pPr>
            <w:r>
              <w:rPr>
                <w:rFonts w:ascii="宋体" w:hAnsi="宋体" w:cs="宋体" w:hint="eastAsia"/>
                <w:bCs/>
                <w:sz w:val="24"/>
                <w:szCs w:val="24"/>
              </w:rPr>
              <w:t>【注：需在投标文件中提供评价结果名单并清晰标明投标人所在排名的位置，没有提供或提供的材料不满足要求的不得分。</w:t>
            </w:r>
            <w:r>
              <w:rPr>
                <w:rFonts w:ascii="宋体" w:hAnsi="宋体" w:cs="宋体" w:hint="eastAsia"/>
                <w:bCs/>
                <w:sz w:val="24"/>
                <w:szCs w:val="24"/>
              </w:rPr>
              <w:lastRenderedPageBreak/>
              <w:t>（该排名为发改委最新一期排名）】</w:t>
            </w:r>
          </w:p>
        </w:tc>
      </w:tr>
      <w:tr w:rsidR="006847F5">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center"/>
              <w:rPr>
                <w:rFonts w:ascii="宋体" w:hAnsi="宋体" w:cs="宋体"/>
                <w:bCs/>
                <w:kern w:val="0"/>
                <w:sz w:val="24"/>
                <w:szCs w:val="24"/>
                <w:lang w:bidi="zh-CN"/>
              </w:rPr>
            </w:pPr>
            <w:r>
              <w:rPr>
                <w:rFonts w:ascii="宋体" w:hAnsi="宋体" w:cs="宋体" w:hint="eastAsia"/>
                <w:bCs/>
                <w:sz w:val="24"/>
                <w:szCs w:val="24"/>
              </w:rPr>
              <w:lastRenderedPageBreak/>
              <w:t>中国银行间市场交易商协会</w:t>
            </w:r>
            <w:r>
              <w:rPr>
                <w:rFonts w:ascii="宋体" w:hAnsi="宋体" w:cs="宋体" w:hint="eastAsia"/>
                <w:bCs/>
                <w:kern w:val="0"/>
                <w:sz w:val="24"/>
                <w:szCs w:val="24"/>
                <w:lang w:bidi="zh-CN"/>
              </w:rPr>
              <w:t>评价</w:t>
            </w:r>
          </w:p>
        </w:tc>
        <w:tc>
          <w:tcPr>
            <w:tcW w:w="394"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根据投标人在中国银行间市场交易商协会、中国证协联合公布2020年信用评级机构市场化评价结果（〔2020〕2号）“银行间市场及交易所市场孰高原则”的排名情况进行打分，排名最高的得15分</w:t>
            </w:r>
            <w:r>
              <w:rPr>
                <w:rFonts w:ascii="宋体" w:hAnsi="宋体" w:cs="宋体"/>
                <w:bCs/>
                <w:sz w:val="24"/>
                <w:szCs w:val="24"/>
              </w:rPr>
              <w:t>每降低一个位次，得分依次递减</w:t>
            </w:r>
            <w:r>
              <w:rPr>
                <w:rFonts w:ascii="宋体" w:hAnsi="宋体" w:cs="宋体" w:hint="eastAsia"/>
                <w:bCs/>
                <w:sz w:val="24"/>
                <w:szCs w:val="24"/>
              </w:rPr>
              <w:t>3</w:t>
            </w:r>
            <w:r>
              <w:rPr>
                <w:rFonts w:ascii="宋体" w:hAnsi="宋体" w:cs="宋体"/>
                <w:bCs/>
                <w:sz w:val="24"/>
                <w:szCs w:val="24"/>
              </w:rPr>
              <w:t>分，</w:t>
            </w:r>
            <w:r>
              <w:rPr>
                <w:rFonts w:ascii="宋体" w:hAnsi="宋体" w:cs="宋体" w:hint="eastAsia"/>
                <w:bCs/>
                <w:sz w:val="24"/>
                <w:szCs w:val="24"/>
              </w:rPr>
              <w:t>最低得0分。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【注：需在投标文件中提供评价结果名单并清晰标明投标人所在排名的位置，没有提供或提供的材料不满足要求的不得分。（该排名为交易商协会最新一期排名）】</w:t>
            </w:r>
          </w:p>
        </w:tc>
      </w:tr>
      <w:tr w:rsidR="006847F5">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center"/>
              <w:rPr>
                <w:rFonts w:ascii="宋体" w:hAnsi="宋体" w:cs="宋体"/>
                <w:bCs/>
                <w:kern w:val="0"/>
                <w:sz w:val="24"/>
                <w:szCs w:val="24"/>
                <w:lang w:bidi="zh-CN"/>
              </w:rPr>
            </w:pPr>
            <w:r>
              <w:rPr>
                <w:rFonts w:ascii="宋体" w:hAnsi="宋体" w:cs="宋体" w:hint="eastAsia"/>
                <w:bCs/>
                <w:sz w:val="24"/>
                <w:szCs w:val="24"/>
              </w:rPr>
              <w:t>中国保险资产管理业协会评价</w:t>
            </w:r>
          </w:p>
        </w:tc>
        <w:tc>
          <w:tcPr>
            <w:tcW w:w="394"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15分</w:t>
            </w:r>
          </w:p>
        </w:tc>
        <w:tc>
          <w:tcPr>
            <w:tcW w:w="3939" w:type="pct"/>
            <w:tcBorders>
              <w:top w:val="outset" w:sz="6" w:space="0" w:color="auto"/>
              <w:left w:val="outset" w:sz="6" w:space="0" w:color="auto"/>
              <w:bottom w:val="outset" w:sz="6" w:space="0" w:color="auto"/>
              <w:right w:val="outset" w:sz="6" w:space="0" w:color="auto"/>
            </w:tcBorders>
            <w:vAlign w:val="center"/>
          </w:tcPr>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根据投标人在中国保险资产管理业协会公布2023年信用评级机构评价结果（综合素质得分排名）的名单排名进行打分，排名最高的得15分，按名次依次递减，每个名次递减3分，最低得0分。</w:t>
            </w:r>
          </w:p>
          <w:p w:rsidR="006847F5" w:rsidRDefault="00467797">
            <w:pPr>
              <w:spacing w:line="360" w:lineRule="auto"/>
              <w:jc w:val="left"/>
              <w:rPr>
                <w:rFonts w:ascii="宋体" w:hAnsi="宋体" w:cs="宋体"/>
                <w:bCs/>
                <w:sz w:val="24"/>
                <w:szCs w:val="24"/>
              </w:rPr>
            </w:pPr>
            <w:r>
              <w:rPr>
                <w:rFonts w:ascii="宋体" w:hAnsi="宋体" w:cs="宋体" w:hint="eastAsia"/>
                <w:bCs/>
                <w:sz w:val="24"/>
                <w:szCs w:val="24"/>
              </w:rPr>
              <w:t>【注：需在投标文件中提供评价结果名单并清晰标明投标人所在排名的位置，没有提供或提供的材料不满足要求的不得分。（该排名为保险协会最新一期排名）】</w:t>
            </w:r>
          </w:p>
        </w:tc>
      </w:tr>
      <w:tr w:rsidR="006847F5">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trPr>
        <w:tc>
          <w:tcPr>
            <w:tcW w:w="667" w:type="pct"/>
            <w:gridSpan w:val="2"/>
            <w:tcBorders>
              <w:top w:val="outset" w:sz="6" w:space="0" w:color="auto"/>
              <w:left w:val="outset" w:sz="6" w:space="0" w:color="auto"/>
              <w:bottom w:val="outset" w:sz="6" w:space="0" w:color="auto"/>
              <w:right w:val="outset" w:sz="6" w:space="0" w:color="auto"/>
            </w:tcBorders>
            <w:vAlign w:val="center"/>
          </w:tcPr>
          <w:p w:rsidR="006847F5" w:rsidRDefault="00467797">
            <w:pPr>
              <w:jc w:val="center"/>
              <w:rPr>
                <w:rFonts w:ascii="宋体" w:hAnsi="宋体" w:cs="宋体"/>
                <w:bCs/>
                <w:sz w:val="24"/>
                <w:szCs w:val="24"/>
              </w:rPr>
            </w:pPr>
            <w:r>
              <w:rPr>
                <w:rFonts w:ascii="宋体" w:hAnsi="宋体" w:cs="宋体" w:hint="eastAsia"/>
                <w:bCs/>
                <w:sz w:val="24"/>
                <w:szCs w:val="24"/>
              </w:rPr>
              <w:t>响应报价</w:t>
            </w:r>
          </w:p>
        </w:tc>
        <w:tc>
          <w:tcPr>
            <w:tcW w:w="394" w:type="pct"/>
            <w:tcBorders>
              <w:top w:val="outset" w:sz="6" w:space="0" w:color="auto"/>
              <w:left w:val="outset" w:sz="6" w:space="0" w:color="auto"/>
              <w:bottom w:val="outset" w:sz="6" w:space="0" w:color="auto"/>
              <w:right w:val="outset" w:sz="6" w:space="0" w:color="auto"/>
            </w:tcBorders>
            <w:vAlign w:val="center"/>
          </w:tcPr>
          <w:p w:rsidR="006847F5" w:rsidRDefault="00467797">
            <w:pPr>
              <w:jc w:val="left"/>
              <w:rPr>
                <w:rFonts w:ascii="宋体" w:hAnsi="宋体" w:cs="宋体"/>
                <w:bCs/>
                <w:sz w:val="24"/>
                <w:szCs w:val="24"/>
              </w:rPr>
            </w:pPr>
            <w:r>
              <w:rPr>
                <w:rFonts w:ascii="宋体" w:hAnsi="宋体" w:cs="宋体" w:hint="eastAsia"/>
                <w:bCs/>
                <w:sz w:val="24"/>
                <w:szCs w:val="24"/>
              </w:rPr>
              <w:t>20分</w:t>
            </w:r>
          </w:p>
        </w:tc>
        <w:tc>
          <w:tcPr>
            <w:tcW w:w="3939" w:type="pct"/>
            <w:tcBorders>
              <w:top w:val="outset" w:sz="6" w:space="0" w:color="auto"/>
              <w:left w:val="outset" w:sz="6" w:space="0" w:color="auto"/>
              <w:bottom w:val="outset" w:sz="6" w:space="0" w:color="auto"/>
              <w:right w:val="outset" w:sz="6" w:space="0" w:color="auto"/>
            </w:tcBorders>
            <w:vAlign w:val="center"/>
          </w:tcPr>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招标人设置投标报价最高限价，各投标人有效报价不得高于最高限价，否则，其投标文件按无效标处理。</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1.评标基准价计算范围：通过资格评审的有效投标人数量为N，当N≥5时，去掉1个最高价、1个最低价；当N＜5时，所有通过资格评审的有效投标人投标报价均纳入评标基准价计算范围。</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2.评标基准价计算:取纳入评标基准价计算范围的所有投标人投标报价的算术平均值；</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3.投标报价偏差率=|（投标人投标报价－评标基准价）/评标基准价|×100%，计算结果保留小数点后两位，小数点后第三位四舍五入，即为*.**%。</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4.投标报价得分：</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投标报价高于评标基准价的，投标报价得分=报价满分值-偏差</w:t>
            </w:r>
            <w:r>
              <w:rPr>
                <w:rFonts w:ascii="宋体" w:hAnsi="宋体" w:cs="宋体" w:hint="eastAsia"/>
                <w:color w:val="000000"/>
                <w:sz w:val="24"/>
                <w:szCs w:val="24"/>
              </w:rPr>
              <w:lastRenderedPageBreak/>
              <w:t>率×100×0.5；</w:t>
            </w:r>
          </w:p>
          <w:p w:rsidR="006847F5" w:rsidRDefault="00467797">
            <w:pPr>
              <w:autoSpaceDE w:val="0"/>
              <w:autoSpaceDN w:val="0"/>
              <w:adjustRightInd w:val="0"/>
              <w:snapToGrid w:val="0"/>
              <w:spacing w:line="360" w:lineRule="auto"/>
              <w:jc w:val="left"/>
              <w:rPr>
                <w:rFonts w:ascii="宋体" w:hAnsi="宋体" w:cs="宋体"/>
                <w:color w:val="000000"/>
                <w:sz w:val="24"/>
                <w:szCs w:val="24"/>
              </w:rPr>
            </w:pPr>
            <w:r>
              <w:rPr>
                <w:rFonts w:ascii="宋体" w:hAnsi="宋体" w:cs="宋体" w:hint="eastAsia"/>
                <w:color w:val="000000"/>
                <w:sz w:val="24"/>
                <w:szCs w:val="24"/>
              </w:rPr>
              <w:t>投标报价低于评标基准价的，投标报价得分=报价满分值-偏差率×100×0.3；</w:t>
            </w:r>
          </w:p>
          <w:p w:rsidR="006847F5" w:rsidRDefault="00467797">
            <w:pPr>
              <w:jc w:val="left"/>
              <w:rPr>
                <w:rFonts w:ascii="宋体" w:hAnsi="宋体" w:cs="宋体"/>
                <w:bCs/>
                <w:sz w:val="24"/>
                <w:szCs w:val="24"/>
              </w:rPr>
            </w:pPr>
            <w:r>
              <w:rPr>
                <w:rFonts w:ascii="宋体" w:hAnsi="宋体" w:cs="宋体" w:hint="eastAsia"/>
                <w:color w:val="000000"/>
                <w:sz w:val="24"/>
                <w:szCs w:val="24"/>
              </w:rPr>
              <w:t>报价得分均保留两位小数，小数点后第三位四舍五入</w:t>
            </w:r>
            <w:r>
              <w:rPr>
                <w:rFonts w:ascii="宋体" w:hAnsi="宋体" w:cs="宋体" w:hint="eastAsia"/>
                <w:color w:val="000000"/>
                <w:spacing w:val="-2"/>
                <w:sz w:val="24"/>
                <w:szCs w:val="24"/>
              </w:rPr>
              <w:t>。</w:t>
            </w:r>
          </w:p>
        </w:tc>
      </w:tr>
    </w:tbl>
    <w:p w:rsidR="006847F5" w:rsidRDefault="006847F5">
      <w:pPr>
        <w:pStyle w:val="af1"/>
        <w:spacing w:before="0" w:beforeAutospacing="0" w:afterAutospacing="0" w:line="600" w:lineRule="exact"/>
        <w:rPr>
          <w:rFonts w:ascii="仿宋" w:eastAsia="仿宋" w:hAnsi="仿宋" w:cs="仿宋"/>
          <w:sz w:val="32"/>
          <w:szCs w:val="32"/>
        </w:rPr>
      </w:pPr>
    </w:p>
    <w:p w:rsidR="006847F5" w:rsidRDefault="006847F5">
      <w:pPr>
        <w:pStyle w:val="af1"/>
        <w:spacing w:before="0" w:beforeAutospacing="0" w:afterAutospacing="0" w:line="600" w:lineRule="exact"/>
        <w:rPr>
          <w:rFonts w:ascii="仿宋" w:eastAsia="仿宋" w:hAnsi="仿宋" w:cs="仿宋"/>
          <w:sz w:val="32"/>
          <w:szCs w:val="32"/>
        </w:rPr>
      </w:pPr>
    </w:p>
    <w:sectPr w:rsidR="006847F5" w:rsidSect="005139B4">
      <w:headerReference w:type="default" r:id="rId8"/>
      <w:footerReference w:type="default" r:id="rId9"/>
      <w:footnotePr>
        <w:pos w:val="beneathText"/>
      </w:footnotePr>
      <w:pgSz w:w="11905" w:h="16837"/>
      <w:pgMar w:top="1440" w:right="1800" w:bottom="1440" w:left="18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8A" w:rsidRDefault="00FB6F8A">
      <w:r>
        <w:separator/>
      </w:r>
    </w:p>
  </w:endnote>
  <w:endnote w:type="continuationSeparator" w:id="0">
    <w:p w:rsidR="00FB6F8A" w:rsidRDefault="00FB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467797">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5139B4">
                            <w:rPr>
                              <w:noProof/>
                              <w:sz w:val="21"/>
                              <w:szCs w:val="21"/>
                            </w:rPr>
                            <w:t>1</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26" style="position:absolute;margin-left:0;margin-top:0;width:10.6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" filled="f" stroked="f">
              <v:textbox style="mso-fit-shape-to-text:t" inset="0,0,0,0">
                <w:txbxContent>
                  <w:p w:rsidR="006847F5" w:rsidRDefault="00467797">
                    <w:pPr>
                      <w:pStyle w:val="ad"/>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5139B4">
                      <w:rPr>
                        <w:noProof/>
                        <w:sz w:val="21"/>
                        <w:szCs w:val="21"/>
                      </w:rPr>
                      <w:t>1</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8A" w:rsidRDefault="00FB6F8A">
      <w:r>
        <w:separator/>
      </w:r>
    </w:p>
  </w:footnote>
  <w:footnote w:type="continuationSeparator" w:id="0">
    <w:p w:rsidR="00FB6F8A" w:rsidRDefault="00FB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7F5" w:rsidRDefault="006847F5">
    <w:pPr>
      <w:pStyle w:val="af"/>
      <w:pBdr>
        <w:bottom w:val="none" w:sz="0" w:space="1" w:color="auto"/>
      </w:pBdr>
      <w:jc w:val="both"/>
      <w:rPr>
        <w:rFonts w:ascii="仿宋_GB2312" w:eastAsia="仿宋_GB2312"/>
        <w:b/>
      </w:rPr>
    </w:pPr>
  </w:p>
  <w:p w:rsidR="006847F5" w:rsidRDefault="006847F5">
    <w:pPr>
      <w:pStyle w:val="af"/>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pos w:val="beneathText"/>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00047359"/>
    <w:rsid w:val="00091693"/>
    <w:rsid w:val="000A06C6"/>
    <w:rsid w:val="000A3B34"/>
    <w:rsid w:val="000A49F9"/>
    <w:rsid w:val="000B4494"/>
    <w:rsid w:val="000D3A55"/>
    <w:rsid w:val="001046B6"/>
    <w:rsid w:val="00182E10"/>
    <w:rsid w:val="00195F60"/>
    <w:rsid w:val="001C5A9A"/>
    <w:rsid w:val="001D04BE"/>
    <w:rsid w:val="002324C3"/>
    <w:rsid w:val="0024540F"/>
    <w:rsid w:val="00245498"/>
    <w:rsid w:val="002B29F2"/>
    <w:rsid w:val="002C6DE4"/>
    <w:rsid w:val="00304241"/>
    <w:rsid w:val="0031721E"/>
    <w:rsid w:val="003302B5"/>
    <w:rsid w:val="00343CE9"/>
    <w:rsid w:val="00364DFD"/>
    <w:rsid w:val="00412FD7"/>
    <w:rsid w:val="00430766"/>
    <w:rsid w:val="00453355"/>
    <w:rsid w:val="00467797"/>
    <w:rsid w:val="00471A9C"/>
    <w:rsid w:val="004871D3"/>
    <w:rsid w:val="004871E1"/>
    <w:rsid w:val="00492E3B"/>
    <w:rsid w:val="004A4FC8"/>
    <w:rsid w:val="004C494F"/>
    <w:rsid w:val="004F4B17"/>
    <w:rsid w:val="00505B0D"/>
    <w:rsid w:val="005139B4"/>
    <w:rsid w:val="00516366"/>
    <w:rsid w:val="00550171"/>
    <w:rsid w:val="00584474"/>
    <w:rsid w:val="005846BE"/>
    <w:rsid w:val="005B029D"/>
    <w:rsid w:val="005F075A"/>
    <w:rsid w:val="006550E2"/>
    <w:rsid w:val="00677276"/>
    <w:rsid w:val="006816DA"/>
    <w:rsid w:val="006847F5"/>
    <w:rsid w:val="006B5DCB"/>
    <w:rsid w:val="006D661F"/>
    <w:rsid w:val="0071369F"/>
    <w:rsid w:val="00723EEF"/>
    <w:rsid w:val="007303EB"/>
    <w:rsid w:val="00741C10"/>
    <w:rsid w:val="00772CBE"/>
    <w:rsid w:val="00774389"/>
    <w:rsid w:val="00795AE9"/>
    <w:rsid w:val="007A5DEB"/>
    <w:rsid w:val="00823984"/>
    <w:rsid w:val="008806DC"/>
    <w:rsid w:val="00890587"/>
    <w:rsid w:val="00895AB6"/>
    <w:rsid w:val="008C1E36"/>
    <w:rsid w:val="008E0A7B"/>
    <w:rsid w:val="009109B5"/>
    <w:rsid w:val="00966A81"/>
    <w:rsid w:val="009761E1"/>
    <w:rsid w:val="009865F1"/>
    <w:rsid w:val="009E60CD"/>
    <w:rsid w:val="00A06F36"/>
    <w:rsid w:val="00A3427C"/>
    <w:rsid w:val="00A70826"/>
    <w:rsid w:val="00A86C5F"/>
    <w:rsid w:val="00AB0742"/>
    <w:rsid w:val="00AB32D1"/>
    <w:rsid w:val="00AD47EC"/>
    <w:rsid w:val="00AF40AC"/>
    <w:rsid w:val="00B01549"/>
    <w:rsid w:val="00B1185B"/>
    <w:rsid w:val="00B12F61"/>
    <w:rsid w:val="00B14D11"/>
    <w:rsid w:val="00B76B15"/>
    <w:rsid w:val="00B81A03"/>
    <w:rsid w:val="00BA09C1"/>
    <w:rsid w:val="00BD552C"/>
    <w:rsid w:val="00BF289C"/>
    <w:rsid w:val="00C07E0E"/>
    <w:rsid w:val="00CB5E98"/>
    <w:rsid w:val="00CC2D66"/>
    <w:rsid w:val="00D20FC4"/>
    <w:rsid w:val="00D51575"/>
    <w:rsid w:val="00D55E6C"/>
    <w:rsid w:val="00D71794"/>
    <w:rsid w:val="00D725C4"/>
    <w:rsid w:val="00D94F99"/>
    <w:rsid w:val="00D96FAE"/>
    <w:rsid w:val="00DC257E"/>
    <w:rsid w:val="00DC6AE4"/>
    <w:rsid w:val="00DE1A31"/>
    <w:rsid w:val="00DE57C2"/>
    <w:rsid w:val="00DF7E1E"/>
    <w:rsid w:val="00E1722A"/>
    <w:rsid w:val="00E228C3"/>
    <w:rsid w:val="00E35C16"/>
    <w:rsid w:val="00E63D76"/>
    <w:rsid w:val="00E6451E"/>
    <w:rsid w:val="00E82F05"/>
    <w:rsid w:val="00EB2B69"/>
    <w:rsid w:val="00ED586B"/>
    <w:rsid w:val="00EF32C7"/>
    <w:rsid w:val="00F40ABA"/>
    <w:rsid w:val="00F44257"/>
    <w:rsid w:val="00F72DD2"/>
    <w:rsid w:val="00F97983"/>
    <w:rsid w:val="00FB3A55"/>
    <w:rsid w:val="00FB6F8A"/>
    <w:rsid w:val="00FD10E0"/>
    <w:rsid w:val="00FE3F29"/>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16751A"/>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77619"/>
    <w:rsid w:val="37955E57"/>
    <w:rsid w:val="37990D7D"/>
    <w:rsid w:val="383D10D3"/>
    <w:rsid w:val="383E32D2"/>
    <w:rsid w:val="384B1C1F"/>
    <w:rsid w:val="387F0514"/>
    <w:rsid w:val="389A01B8"/>
    <w:rsid w:val="390223BE"/>
    <w:rsid w:val="39456F19"/>
    <w:rsid w:val="3965046B"/>
    <w:rsid w:val="397424CE"/>
    <w:rsid w:val="39C71FE9"/>
    <w:rsid w:val="39E17075"/>
    <w:rsid w:val="3A0D01DA"/>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A1310C"/>
    <w:rsid w:val="6ED2525C"/>
    <w:rsid w:val="6EFB112C"/>
    <w:rsid w:val="6F1E2193"/>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A5C434D"/>
    <w:rsid w:val="7AC106B6"/>
    <w:rsid w:val="7AEE4100"/>
    <w:rsid w:val="7AFA7350"/>
    <w:rsid w:val="7B933A26"/>
    <w:rsid w:val="7C086E74"/>
    <w:rsid w:val="7C34222F"/>
    <w:rsid w:val="7C39225B"/>
    <w:rsid w:val="7C8F51E8"/>
    <w:rsid w:val="7D232C40"/>
    <w:rsid w:val="7D3401D5"/>
    <w:rsid w:val="7D4D433B"/>
    <w:rsid w:val="7D746BE8"/>
    <w:rsid w:val="7DD737EB"/>
    <w:rsid w:val="7DE84A9D"/>
    <w:rsid w:val="7E2B3D0F"/>
    <w:rsid w:val="7E9266F9"/>
    <w:rsid w:val="7E970E40"/>
    <w:rsid w:val="7EF66F76"/>
    <w:rsid w:val="7FAA5C44"/>
    <w:rsid w:val="7FBF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E10438A"/>
  <w15:docId w15:val="{3F86A014-082B-4A1D-BE71-7541E627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黑体"/>
      <w:kern w:val="2"/>
      <w:sz w:val="21"/>
      <w:szCs w:val="22"/>
    </w:rPr>
  </w:style>
  <w:style w:type="paragraph" w:styleId="20">
    <w:name w:val="heading 2"/>
    <w:basedOn w:val="a"/>
    <w:next w:val="a"/>
    <w:link w:val="21"/>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a5"/>
    <w:qFormat/>
    <w:pPr>
      <w:ind w:leftChars="343" w:left="720" w:firstLineChars="100" w:firstLine="280"/>
    </w:pPr>
    <w:rPr>
      <w:color w:val="FF0000"/>
      <w:sz w:val="28"/>
    </w:rPr>
  </w:style>
  <w:style w:type="paragraph" w:styleId="a5">
    <w:name w:val="envelope return"/>
    <w:basedOn w:val="a"/>
    <w:qFormat/>
    <w:pPr>
      <w:widowControl/>
      <w:jc w:val="left"/>
    </w:pPr>
    <w:rPr>
      <w:rFonts w:ascii="Garamond" w:hAnsi="Garamond"/>
      <w:kern w:val="0"/>
      <w:sz w:val="22"/>
      <w:szCs w:val="20"/>
    </w:rPr>
  </w:style>
  <w:style w:type="paragraph" w:styleId="a4">
    <w:name w:val="List"/>
    <w:basedOn w:val="a"/>
    <w:qFormat/>
    <w:pPr>
      <w:adjustRightInd w:val="0"/>
      <w:spacing w:line="360" w:lineRule="atLeast"/>
      <w:ind w:left="420" w:hanging="420"/>
      <w:jc w:val="left"/>
    </w:pPr>
    <w:rPr>
      <w:rFonts w:ascii="宋体" w:hint="eastAsia"/>
      <w:kern w:val="0"/>
      <w:sz w:val="24"/>
      <w:szCs w:val="20"/>
    </w:rPr>
  </w:style>
  <w:style w:type="paragraph" w:styleId="a6">
    <w:name w:val="annotation text"/>
    <w:basedOn w:val="a"/>
    <w:link w:val="a7"/>
    <w:uiPriority w:val="99"/>
    <w:unhideWhenUsed/>
    <w:qFormat/>
    <w:pPr>
      <w:jc w:val="left"/>
    </w:pPr>
  </w:style>
  <w:style w:type="paragraph" w:styleId="a8">
    <w:name w:val="Body Text"/>
    <w:basedOn w:val="a"/>
    <w:next w:val="a9"/>
    <w:qFormat/>
    <w:pPr>
      <w:adjustRightInd w:val="0"/>
      <w:spacing w:after="60" w:line="360" w:lineRule="atLeast"/>
      <w:ind w:leftChars="30" w:left="72" w:rightChars="30" w:right="30"/>
      <w:jc w:val="center"/>
      <w:textAlignment w:val="baseline"/>
    </w:pPr>
    <w:rPr>
      <w:rFonts w:ascii="Times New Roman"/>
      <w:kern w:val="0"/>
    </w:rPr>
  </w:style>
  <w:style w:type="paragraph" w:styleId="a9">
    <w:name w:val="Date"/>
    <w:basedOn w:val="a"/>
    <w:next w:val="a"/>
    <w:qFormat/>
    <w:pPr>
      <w:ind w:leftChars="2500" w:left="100"/>
    </w:pPr>
  </w:style>
  <w:style w:type="paragraph" w:styleId="aa">
    <w:name w:val="Plain Text"/>
    <w:basedOn w:val="a"/>
    <w:qFormat/>
    <w:rPr>
      <w:rFonts w:ascii="宋体" w:hAnsi="Courier New"/>
      <w:szCs w:val="20"/>
    </w:rPr>
  </w:style>
  <w:style w:type="paragraph" w:styleId="ab">
    <w:name w:val="Balloon Text"/>
    <w:basedOn w:val="a"/>
    <w:link w:val="ac"/>
    <w:semiHidden/>
    <w:unhideWhenUsed/>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2">
    <w:name w:val="annotation subject"/>
    <w:basedOn w:val="a6"/>
    <w:next w:val="a6"/>
    <w:link w:val="af3"/>
    <w:uiPriority w:val="99"/>
    <w:unhideWhenUsed/>
    <w:qFormat/>
    <w:rPr>
      <w:b/>
      <w:bCs/>
    </w:rPr>
  </w:style>
  <w:style w:type="paragraph" w:styleId="af4">
    <w:name w:val="Body Text First Indent"/>
    <w:basedOn w:val="a8"/>
    <w:uiPriority w:val="99"/>
    <w:unhideWhenUsed/>
    <w:qFormat/>
    <w:pPr>
      <w:ind w:firstLineChars="100" w:firstLine="420"/>
    </w:p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000FF"/>
      <w:u w:val="single"/>
    </w:rPr>
  </w:style>
  <w:style w:type="character" w:styleId="af8">
    <w:name w:val="annotation reference"/>
    <w:basedOn w:val="a0"/>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21">
    <w:name w:val="标题 2 字符"/>
    <w:basedOn w:val="a0"/>
    <w:link w:val="20"/>
    <w:uiPriority w:val="9"/>
    <w:qFormat/>
    <w:rPr>
      <w:rFonts w:ascii="宋体" w:eastAsia="宋体" w:hAnsi="宋体" w:cs="宋体"/>
      <w:b/>
      <w:bCs/>
      <w:kern w:val="0"/>
      <w:sz w:val="36"/>
      <w:szCs w:val="36"/>
    </w:rPr>
  </w:style>
  <w:style w:type="character" w:customStyle="1" w:styleId="font81">
    <w:name w:val="font81"/>
    <w:basedOn w:val="a0"/>
    <w:qFormat/>
    <w:rPr>
      <w:rFonts w:ascii="宋体" w:eastAsia="宋体" w:hAnsi="宋体" w:cs="宋体" w:hint="eastAsia"/>
      <w:b/>
      <w:bCs/>
      <w:color w:val="000000"/>
      <w:sz w:val="22"/>
      <w:szCs w:val="22"/>
      <w:u w:val="none"/>
    </w:rPr>
  </w:style>
  <w:style w:type="character" w:customStyle="1" w:styleId="a7">
    <w:name w:val="批注文字 字符"/>
    <w:basedOn w:val="a0"/>
    <w:link w:val="a6"/>
    <w:uiPriority w:val="99"/>
    <w:qFormat/>
    <w:rPr>
      <w:rFonts w:ascii="Calibri" w:hAnsi="Calibri" w:cs="黑体"/>
      <w:kern w:val="2"/>
      <w:sz w:val="21"/>
      <w:szCs w:val="22"/>
    </w:rPr>
  </w:style>
  <w:style w:type="character" w:customStyle="1" w:styleId="af3">
    <w:name w:val="批注主题 字符"/>
    <w:basedOn w:val="a7"/>
    <w:link w:val="af2"/>
    <w:uiPriority w:val="99"/>
    <w:semiHidden/>
    <w:qFormat/>
    <w:rPr>
      <w:rFonts w:ascii="Calibri" w:hAnsi="Calibri" w:cs="黑体"/>
      <w:b/>
      <w:bCs/>
      <w:kern w:val="2"/>
      <w:sz w:val="21"/>
      <w:szCs w:val="22"/>
    </w:rPr>
  </w:style>
  <w:style w:type="character" w:customStyle="1" w:styleId="NormalCharacter">
    <w:name w:val="NormalCharacter"/>
    <w:semiHidden/>
  </w:style>
  <w:style w:type="character" w:customStyle="1" w:styleId="ac">
    <w:name w:val="批注框文本 字符"/>
    <w:basedOn w:val="a0"/>
    <w:link w:val="ab"/>
    <w:semiHidden/>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211</Words>
  <Characters>1205</Characters>
  <Application>Microsoft Office Word</Application>
  <DocSecurity>0</DocSecurity>
  <Lines>10</Lines>
  <Paragraphs>2</Paragraphs>
  <ScaleCrop>false</ScaleCrop>
  <Company>微软中国</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37</cp:revision>
  <cp:lastPrinted>2023-09-28T01:23:00Z</cp:lastPrinted>
  <dcterms:created xsi:type="dcterms:W3CDTF">2022-05-16T06:32:00Z</dcterms:created>
  <dcterms:modified xsi:type="dcterms:W3CDTF">2023-09-28T07:10:00Z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2535E97CCA874DC485381F468203D202_13</vt:lpwstr>
  </property>
</Properties>
</file>